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2DF453" w14:textId="361DAE4D" w:rsidR="00F84254" w:rsidRDefault="00F84254" w:rsidP="00F84254">
      <w:pPr>
        <w:pStyle w:val="Portadaarriba"/>
        <w:spacing w:before="0" w:after="0"/>
        <w:rPr>
          <w:rFonts w:ascii="Arial" w:hAnsi="Arial"/>
          <w:sz w:val="40"/>
          <w:szCs w:val="40"/>
        </w:rPr>
      </w:pPr>
      <w:bookmarkStart w:id="0" w:name="_Toc438489210"/>
      <w:r>
        <w:rPr>
          <w:rFonts w:ascii="Arial" w:hAnsi="Arial"/>
          <w:sz w:val="40"/>
          <w:szCs w:val="40"/>
        </w:rPr>
        <w:t xml:space="preserve">ANEXO </w:t>
      </w:r>
      <w:r w:rsidR="00327339">
        <w:rPr>
          <w:rFonts w:ascii="Arial" w:hAnsi="Arial"/>
          <w:sz w:val="40"/>
          <w:szCs w:val="40"/>
        </w:rPr>
        <w:t>4</w:t>
      </w:r>
    </w:p>
    <w:p w14:paraId="4E02CA8D" w14:textId="77777777" w:rsidR="00F84254" w:rsidRDefault="00F84254" w:rsidP="00F84254">
      <w:pPr>
        <w:pStyle w:val="Portadaarriba"/>
        <w:spacing w:before="0" w:after="0"/>
        <w:rPr>
          <w:rFonts w:ascii="Arial" w:hAnsi="Arial"/>
          <w:sz w:val="40"/>
          <w:szCs w:val="40"/>
        </w:rPr>
      </w:pPr>
    </w:p>
    <w:p w14:paraId="063E4906" w14:textId="27F564D1" w:rsidR="00F84254" w:rsidRPr="005662BC" w:rsidRDefault="00327339" w:rsidP="00F84254">
      <w:pPr>
        <w:pStyle w:val="Portadaarriba"/>
        <w:spacing w:before="0" w:after="0"/>
        <w:rPr>
          <w:rFonts w:ascii="Arial" w:hAnsi="Arial"/>
          <w:sz w:val="40"/>
          <w:szCs w:val="40"/>
        </w:rPr>
      </w:pPr>
      <w:r w:rsidRPr="00327339">
        <w:rPr>
          <w:rFonts w:ascii="Arial" w:hAnsi="Arial"/>
          <w:sz w:val="40"/>
          <w:szCs w:val="40"/>
        </w:rPr>
        <w:t>Requisitos de Ciberseguridad pata la Infraestructura de TIC</w:t>
      </w:r>
    </w:p>
    <w:p w14:paraId="08288CD5" w14:textId="14C31D18" w:rsidR="00F84254" w:rsidRDefault="00F84254" w:rsidP="00F84254">
      <w:pPr>
        <w:rPr>
          <w:rFonts w:ascii="Arial" w:eastAsiaTheme="minorEastAsia" w:hAnsi="Arial" w:cs="Arial"/>
          <w:b/>
          <w:sz w:val="24"/>
          <w:szCs w:val="28"/>
          <w:lang w:bidi="en-US"/>
        </w:rPr>
      </w:pPr>
      <w:bookmarkStart w:id="1" w:name="_Toc438489211"/>
      <w:bookmarkEnd w:id="0"/>
    </w:p>
    <w:p w14:paraId="16AF8E30" w14:textId="60FD0E10" w:rsidR="00F84254" w:rsidRPr="00F9082A" w:rsidRDefault="00F84254" w:rsidP="00F9082A">
      <w:pPr>
        <w:pStyle w:val="Numeral"/>
        <w:numPr>
          <w:ilvl w:val="1"/>
          <w:numId w:val="1"/>
        </w:numPr>
        <w:rPr>
          <w:b/>
          <w:sz w:val="24"/>
          <w:szCs w:val="24"/>
        </w:rPr>
      </w:pPr>
      <w:bookmarkStart w:id="2" w:name="_Toc468962304"/>
      <w:r w:rsidRPr="00F9082A">
        <w:rPr>
          <w:b/>
          <w:sz w:val="24"/>
          <w:szCs w:val="24"/>
        </w:rPr>
        <w:t>Introducción</w:t>
      </w:r>
      <w:bookmarkEnd w:id="1"/>
      <w:bookmarkEnd w:id="2"/>
    </w:p>
    <w:p w14:paraId="6B6B9CA0" w14:textId="0376EE89" w:rsidR="00327339" w:rsidRPr="00F9082A" w:rsidRDefault="00327339" w:rsidP="00F9082A">
      <w:pPr>
        <w:pStyle w:val="Numeral"/>
        <w:numPr>
          <w:ilvl w:val="2"/>
          <w:numId w:val="1"/>
        </w:numPr>
        <w:rPr>
          <w:szCs w:val="20"/>
        </w:rPr>
      </w:pPr>
      <w:r w:rsidRPr="00F9082A">
        <w:rPr>
          <w:szCs w:val="20"/>
        </w:rPr>
        <w:t>El presente anexo establece los requisitos en materia de Ciberseguridad que el CENACE, Transportista, Distribuidor, Central Eléctrica o Centro de Carga deben adoptar para asegurar la confidencialidad, integridad y disponibilidad de la información transmitida, necesarias para la operación del SEN y el Mercado Eléctrico Mayorista.</w:t>
      </w:r>
    </w:p>
    <w:p w14:paraId="1A648656" w14:textId="04A9C1E2" w:rsidR="00327339" w:rsidRPr="00F9082A" w:rsidRDefault="00327339" w:rsidP="00F9082A">
      <w:pPr>
        <w:pStyle w:val="Numeral"/>
        <w:numPr>
          <w:ilvl w:val="2"/>
          <w:numId w:val="1"/>
        </w:numPr>
        <w:rPr>
          <w:szCs w:val="20"/>
        </w:rPr>
      </w:pPr>
      <w:r w:rsidRPr="00F9082A">
        <w:rPr>
          <w:szCs w:val="20"/>
        </w:rPr>
        <w:t>Para efectos de este anexo, resultan aplicables las definiciones señaladas en el numeral 1.4 del Manual.</w:t>
      </w:r>
    </w:p>
    <w:p w14:paraId="1D824D69" w14:textId="7F7FB2D8" w:rsidR="00327339" w:rsidRPr="00F9082A" w:rsidRDefault="00327339" w:rsidP="00F9082A">
      <w:pPr>
        <w:pStyle w:val="Numeral"/>
        <w:numPr>
          <w:ilvl w:val="2"/>
          <w:numId w:val="1"/>
        </w:numPr>
        <w:rPr>
          <w:szCs w:val="20"/>
        </w:rPr>
      </w:pPr>
      <w:r w:rsidRPr="00F9082A">
        <w:rPr>
          <w:szCs w:val="20"/>
        </w:rPr>
        <w:t>Sin perjuicio de lo señalado en este anexo, el CENACE, el Transportista, el Distribuidor, la Central Eléctrica y el Centro de Carga deben cumplir con las disposiciones  de Ciberseguridad que emita la CRE.</w:t>
      </w:r>
    </w:p>
    <w:p w14:paraId="46AB699D" w14:textId="0E5FF004" w:rsidR="00F84254" w:rsidRDefault="00327339" w:rsidP="00F9082A">
      <w:pPr>
        <w:pStyle w:val="Numeral"/>
        <w:numPr>
          <w:ilvl w:val="2"/>
          <w:numId w:val="1"/>
        </w:numPr>
        <w:rPr>
          <w:rStyle w:val="body0020text0020first0020indentchar"/>
        </w:rPr>
      </w:pPr>
      <w:r w:rsidRPr="00F9082A">
        <w:rPr>
          <w:szCs w:val="20"/>
        </w:rPr>
        <w:t>Para efectos de este anexo, cuando se hable de las partes, debe entenderse el CENACE, Transportista,</w:t>
      </w:r>
      <w:r w:rsidRPr="00327339">
        <w:rPr>
          <w:rStyle w:val="body0020text0020first0020indentchar"/>
        </w:rPr>
        <w:t xml:space="preserve"> Distribuidor, Central Eléctrica y Centro de Carga, cada uno en su ámbito de acción.</w:t>
      </w:r>
    </w:p>
    <w:p w14:paraId="5043500F" w14:textId="77777777" w:rsidR="00F9082A" w:rsidRDefault="00F9082A" w:rsidP="00F9082A">
      <w:pPr>
        <w:pStyle w:val="Numeral"/>
        <w:ind w:left="851"/>
        <w:rPr>
          <w:rStyle w:val="body0020text0020first0020indentchar"/>
        </w:rPr>
      </w:pPr>
    </w:p>
    <w:p w14:paraId="35EFF983" w14:textId="77777777" w:rsidR="00327339" w:rsidRDefault="00327339" w:rsidP="00F9082A">
      <w:pPr>
        <w:pStyle w:val="Numeral"/>
        <w:numPr>
          <w:ilvl w:val="1"/>
          <w:numId w:val="1"/>
        </w:numPr>
      </w:pPr>
      <w:r w:rsidRPr="00327339">
        <w:rPr>
          <w:b/>
          <w:sz w:val="24"/>
          <w:szCs w:val="28"/>
        </w:rPr>
        <w:t>Requ</w:t>
      </w:r>
      <w:bookmarkStart w:id="3" w:name="_GoBack"/>
      <w:bookmarkEnd w:id="3"/>
      <w:r w:rsidRPr="00327339">
        <w:rPr>
          <w:b/>
          <w:sz w:val="24"/>
          <w:szCs w:val="28"/>
        </w:rPr>
        <w:t>isitos generales de Ciberseguridad</w:t>
      </w:r>
    </w:p>
    <w:p w14:paraId="29EC5A9B" w14:textId="77777777" w:rsidR="00327339" w:rsidRPr="00313E25" w:rsidRDefault="00327339" w:rsidP="00327339">
      <w:pPr>
        <w:pStyle w:val="Numeral"/>
        <w:ind w:left="851"/>
        <w:rPr>
          <w:szCs w:val="20"/>
        </w:rPr>
      </w:pPr>
      <w:r w:rsidRPr="00313E25">
        <w:rPr>
          <w:szCs w:val="20"/>
        </w:rPr>
        <w:t xml:space="preserve">La conectividad de acceso hacia el CENACE </w:t>
      </w:r>
      <w:r>
        <w:rPr>
          <w:szCs w:val="20"/>
        </w:rPr>
        <w:t xml:space="preserve">está </w:t>
      </w:r>
      <w:r w:rsidRPr="00313E25">
        <w:rPr>
          <w:szCs w:val="20"/>
        </w:rPr>
        <w:t>diseñada, desarrollada y supervisada de tal manera que sólo los usuarios autorizados tienen acceso a la información, comunic</w:t>
      </w:r>
      <w:r>
        <w:rPr>
          <w:szCs w:val="20"/>
        </w:rPr>
        <w:t>ación y herramientas necesarias, por tal motivo, las partes deben cumplir con los requisitos que se indican a continuación.</w:t>
      </w:r>
    </w:p>
    <w:p w14:paraId="296CC7FF" w14:textId="77777777" w:rsidR="00327339" w:rsidRPr="00313E25" w:rsidRDefault="00327339" w:rsidP="00327339">
      <w:pPr>
        <w:pStyle w:val="Numeral"/>
        <w:numPr>
          <w:ilvl w:val="2"/>
          <w:numId w:val="1"/>
        </w:numPr>
        <w:rPr>
          <w:szCs w:val="20"/>
        </w:rPr>
      </w:pPr>
      <w:r w:rsidRPr="00313E25">
        <w:rPr>
          <w:szCs w:val="20"/>
        </w:rPr>
        <w:t>Sólo al personal facultado por las partes se le debe permitir el acceso y uso de equipos de cómputo, comunicaciones o seguridad ubicados en los Puntos de Conectividad, según sea el caso: entre el CENACE y el Transportista, Distribuidor, Central Eléctrica o Centro de Carga; entre el Transportista y Distribuidor; o entre el Transportista o Distribuidor y la Central Eléctrica o Centro de Carga. Las partes involucradas en un Punto de Conectividad deben compartir entre ellas sus respectivas listas de personal facultado.</w:t>
      </w:r>
    </w:p>
    <w:p w14:paraId="4D415329" w14:textId="77777777" w:rsidR="00327339" w:rsidRDefault="00327339" w:rsidP="00327339">
      <w:pPr>
        <w:pStyle w:val="Numeral"/>
        <w:numPr>
          <w:ilvl w:val="2"/>
          <w:numId w:val="1"/>
        </w:numPr>
        <w:rPr>
          <w:szCs w:val="20"/>
        </w:rPr>
      </w:pPr>
      <w:r w:rsidRPr="00A963FF">
        <w:rPr>
          <w:szCs w:val="20"/>
        </w:rPr>
        <w:t xml:space="preserve">Cuando así lo consideren necesario y en coordinación con su contraparte en el Punto de Conectividad, el personal autorizado del CENACE, en el Punto de Conectividad entre el CENACE y el Transportista, Distribuidor, Central Eléctrica o Centro de Carga, y el personal autorizado del Transportista o Distribuidor, en el Punto de Conectividad que tengan entre sí o con la Central Eléctrica o Centro de Carga, según sea el caso, podrán llevar a cabo el diagnóstico de problemas y la validación de las políticas de seguridad convenidas. Para tal efecto, utilizarán herramientas de software no invasivas. El CENACE, el Transportista y el Distribuidor podrán obtener información de su contraparte en el Punto de Conectividad para corroborar que todas las conexiones en la infraestructura de red han sido autorizadas y que se han implementado de manera correcta el equipo firewall, las conexiones y los sistemas antivirus. Estos trabajos de monitoreo y supervisión se llevarán a cabo desde sus respectivas instalaciones. </w:t>
      </w:r>
    </w:p>
    <w:p w14:paraId="5E201759" w14:textId="77777777" w:rsidR="00327339" w:rsidRPr="00A963FF" w:rsidRDefault="00327339" w:rsidP="00327339">
      <w:pPr>
        <w:pStyle w:val="Numeral"/>
        <w:numPr>
          <w:ilvl w:val="2"/>
          <w:numId w:val="1"/>
        </w:numPr>
        <w:rPr>
          <w:szCs w:val="20"/>
        </w:rPr>
      </w:pPr>
      <w:r w:rsidRPr="00A963FF">
        <w:rPr>
          <w:szCs w:val="20"/>
        </w:rPr>
        <w:lastRenderedPageBreak/>
        <w:t xml:space="preserve">El CENACE, el Transportista y el Distribuidor deben mantener estricta confidencialidad sobre cualquier información que obtengan de las actividades de monitoreo y supervisión, y no deben compartirla con terceros, por lo cual están obligados a firmar entre ellos los acuerdos de confidencialidad conducentes. </w:t>
      </w:r>
    </w:p>
    <w:p w14:paraId="102C87CD" w14:textId="74FC223F" w:rsidR="00327339" w:rsidRPr="00313E25" w:rsidRDefault="00327339" w:rsidP="00327339">
      <w:pPr>
        <w:pStyle w:val="Numeral"/>
        <w:numPr>
          <w:ilvl w:val="2"/>
          <w:numId w:val="1"/>
        </w:numPr>
        <w:rPr>
          <w:szCs w:val="20"/>
        </w:rPr>
      </w:pPr>
      <w:r w:rsidRPr="00313E25">
        <w:rPr>
          <w:szCs w:val="20"/>
        </w:rPr>
        <w:t>L</w:t>
      </w:r>
      <w:r>
        <w:rPr>
          <w:szCs w:val="20"/>
        </w:rPr>
        <w:t xml:space="preserve">a Infraestructura de TIC </w:t>
      </w:r>
      <w:r w:rsidRPr="00313E25">
        <w:rPr>
          <w:szCs w:val="20"/>
        </w:rPr>
        <w:t xml:space="preserve">del CENACE, del Transportista, </w:t>
      </w:r>
      <w:r>
        <w:rPr>
          <w:szCs w:val="20"/>
        </w:rPr>
        <w:t xml:space="preserve">del Distribuidor, </w:t>
      </w:r>
      <w:r w:rsidRPr="00313E25">
        <w:rPr>
          <w:szCs w:val="20"/>
        </w:rPr>
        <w:t xml:space="preserve">de la Central Eléctrica o del Centro de Carga </w:t>
      </w:r>
      <w:r>
        <w:rPr>
          <w:szCs w:val="20"/>
        </w:rPr>
        <w:t>en los Puntos de Conectividad</w:t>
      </w:r>
      <w:r w:rsidRPr="00313E25">
        <w:rPr>
          <w:szCs w:val="20"/>
        </w:rPr>
        <w:t xml:space="preserve"> debe estar configurad</w:t>
      </w:r>
      <w:r>
        <w:rPr>
          <w:szCs w:val="20"/>
        </w:rPr>
        <w:t>a</w:t>
      </w:r>
      <w:r w:rsidRPr="00313E25">
        <w:rPr>
          <w:szCs w:val="20"/>
        </w:rPr>
        <w:t xml:space="preserve"> solamente para aquellos protocolos, puertos y direccionamientos autorizados y originados en los equipos y sistemas de TIC para la cone</w:t>
      </w:r>
      <w:r>
        <w:rPr>
          <w:szCs w:val="20"/>
        </w:rPr>
        <w:t>ctividad</w:t>
      </w:r>
      <w:r w:rsidRPr="00313E25">
        <w:rPr>
          <w:szCs w:val="20"/>
        </w:rPr>
        <w:t xml:space="preserve">. </w:t>
      </w:r>
    </w:p>
    <w:p w14:paraId="17628E7B" w14:textId="77777777" w:rsidR="00327339" w:rsidRPr="00313E25" w:rsidRDefault="00327339" w:rsidP="00327339">
      <w:pPr>
        <w:pStyle w:val="Numeral"/>
        <w:numPr>
          <w:ilvl w:val="2"/>
          <w:numId w:val="1"/>
        </w:numPr>
        <w:rPr>
          <w:szCs w:val="20"/>
        </w:rPr>
      </w:pPr>
      <w:r w:rsidRPr="00313E25">
        <w:rPr>
          <w:szCs w:val="20"/>
        </w:rPr>
        <w:t>Las partes deben compartir, con su contraparte involucrada en cada Punto de Conectividad de los referidos en el numeral 2.</w:t>
      </w:r>
      <w:r>
        <w:rPr>
          <w:szCs w:val="20"/>
        </w:rPr>
        <w:t>2</w:t>
      </w:r>
      <w:r w:rsidRPr="00313E25">
        <w:rPr>
          <w:szCs w:val="20"/>
        </w:rPr>
        <w:t xml:space="preserve"> de este anexo, el diagrama correspondiente a cada Punto de Conectividad. Dichos diagramas debe</w:t>
      </w:r>
      <w:r>
        <w:rPr>
          <w:szCs w:val="20"/>
        </w:rPr>
        <w:t>n</w:t>
      </w:r>
      <w:r w:rsidRPr="00313E25">
        <w:rPr>
          <w:szCs w:val="20"/>
        </w:rPr>
        <w:t xml:space="preserve"> incluir el direccionamiento, los puertos y la topología.</w:t>
      </w:r>
    </w:p>
    <w:p w14:paraId="3B00B157" w14:textId="77777777" w:rsidR="00327339" w:rsidRPr="00313E25" w:rsidRDefault="00327339" w:rsidP="00327339">
      <w:pPr>
        <w:pStyle w:val="Numeral"/>
        <w:numPr>
          <w:ilvl w:val="2"/>
          <w:numId w:val="1"/>
        </w:numPr>
        <w:rPr>
          <w:szCs w:val="20"/>
        </w:rPr>
      </w:pPr>
      <w:r w:rsidRPr="00313E25">
        <w:rPr>
          <w:szCs w:val="20"/>
        </w:rPr>
        <w:t xml:space="preserve">Previo a la implementación de cualquier modificación o mantenimiento </w:t>
      </w:r>
      <w:r>
        <w:rPr>
          <w:szCs w:val="20"/>
        </w:rPr>
        <w:t>a</w:t>
      </w:r>
      <w:r w:rsidRPr="00313E25">
        <w:rPr>
          <w:szCs w:val="20"/>
        </w:rPr>
        <w:t xml:space="preserve"> la Infraestructura de TIC que afecte la comunicación, topología o seguridad de los equipos localizados en los Puntos de Conectividad mencionados en el numeral 2.</w:t>
      </w:r>
      <w:r>
        <w:rPr>
          <w:szCs w:val="20"/>
        </w:rPr>
        <w:t>2</w:t>
      </w:r>
      <w:r w:rsidRPr="00313E25">
        <w:rPr>
          <w:szCs w:val="20"/>
        </w:rPr>
        <w:t xml:space="preserve"> de este anexo, las partes involucradas en dicho punto deben coordinarse conforme a lo que establezcan las guías operativas o procedimientos relativos al mantenimiento de los sistemas de TIC.</w:t>
      </w:r>
    </w:p>
    <w:p w14:paraId="24A03A56" w14:textId="77777777" w:rsidR="00327339" w:rsidRPr="00313E25" w:rsidRDefault="00327339" w:rsidP="00327339">
      <w:pPr>
        <w:pStyle w:val="Numeral"/>
        <w:numPr>
          <w:ilvl w:val="2"/>
          <w:numId w:val="1"/>
        </w:numPr>
        <w:rPr>
          <w:szCs w:val="20"/>
        </w:rPr>
      </w:pPr>
      <w:r w:rsidRPr="00313E25">
        <w:rPr>
          <w:szCs w:val="20"/>
        </w:rPr>
        <w:t>Cada parte será responsable de la protección de sus redes internas para tráfico no autorizado.</w:t>
      </w:r>
    </w:p>
    <w:p w14:paraId="31EAC604" w14:textId="77777777" w:rsidR="00327339" w:rsidRPr="00313E25" w:rsidRDefault="00327339" w:rsidP="00327339">
      <w:pPr>
        <w:pStyle w:val="Numeral"/>
        <w:numPr>
          <w:ilvl w:val="2"/>
          <w:numId w:val="1"/>
        </w:numPr>
        <w:rPr>
          <w:szCs w:val="20"/>
        </w:rPr>
      </w:pPr>
      <w:r>
        <w:rPr>
          <w:szCs w:val="20"/>
        </w:rPr>
        <w:t>La</w:t>
      </w:r>
      <w:r w:rsidRPr="00313E25">
        <w:rPr>
          <w:szCs w:val="20"/>
        </w:rPr>
        <w:t xml:space="preserve"> </w:t>
      </w:r>
      <w:r>
        <w:rPr>
          <w:szCs w:val="20"/>
        </w:rPr>
        <w:t>Infraestructura de TIC</w:t>
      </w:r>
      <w:r w:rsidRPr="00313E25">
        <w:rPr>
          <w:szCs w:val="20"/>
        </w:rPr>
        <w:t xml:space="preserve"> de cada parte</w:t>
      </w:r>
      <w:r>
        <w:rPr>
          <w:szCs w:val="20"/>
        </w:rPr>
        <w:t>,</w:t>
      </w:r>
      <w:r w:rsidRPr="00313E25">
        <w:rPr>
          <w:szCs w:val="20"/>
        </w:rPr>
        <w:t xml:space="preserve"> que tenga conectividad con </w:t>
      </w:r>
      <w:r>
        <w:rPr>
          <w:szCs w:val="20"/>
        </w:rPr>
        <w:t>Infraestructura de TIC</w:t>
      </w:r>
      <w:r w:rsidRPr="00313E25">
        <w:rPr>
          <w:szCs w:val="20"/>
        </w:rPr>
        <w:t xml:space="preserve"> de otra parte debe estar lógicamente aislad</w:t>
      </w:r>
      <w:r>
        <w:rPr>
          <w:szCs w:val="20"/>
        </w:rPr>
        <w:t>a</w:t>
      </w:r>
      <w:r w:rsidRPr="00313E25">
        <w:rPr>
          <w:szCs w:val="20"/>
        </w:rPr>
        <w:t xml:space="preserve"> a través de equipos firewall. El</w:t>
      </w:r>
      <w:r>
        <w:rPr>
          <w:szCs w:val="20"/>
        </w:rPr>
        <w:t xml:space="preserve"> CENACE, el</w:t>
      </w:r>
      <w:r w:rsidRPr="00313E25">
        <w:rPr>
          <w:szCs w:val="20"/>
        </w:rPr>
        <w:t xml:space="preserve"> Transportista, el Distribuidor, la Central Eléctrica y el </w:t>
      </w:r>
      <w:r>
        <w:rPr>
          <w:szCs w:val="20"/>
        </w:rPr>
        <w:t>Centro de C</w:t>
      </w:r>
      <w:r w:rsidRPr="00313E25">
        <w:rPr>
          <w:szCs w:val="20"/>
        </w:rPr>
        <w:t xml:space="preserve">arga deben integrar dichos </w:t>
      </w:r>
      <w:r>
        <w:rPr>
          <w:szCs w:val="20"/>
        </w:rPr>
        <w:t>equipos firewall</w:t>
      </w:r>
      <w:r w:rsidRPr="00313E25">
        <w:rPr>
          <w:szCs w:val="20"/>
        </w:rPr>
        <w:t xml:space="preserve"> a sus respectivas Redes Operativas. Para el caso de los Puntos de Conectividad entre el Transportista o el Distribuidor y la Central Eléctrica o el Centro de Carga, según corresponda, la Central Eléctrica y el Centro de Carga deberán seguir lo indicado en el esquema de conectividad que corresponda, según lo indicado en el anexo 7 “Alternativas de Conectividad”.</w:t>
      </w:r>
    </w:p>
    <w:p w14:paraId="16BB59F4" w14:textId="77777777" w:rsidR="00327339" w:rsidRPr="00E156C1" w:rsidRDefault="00327339" w:rsidP="00327339">
      <w:pPr>
        <w:pStyle w:val="Numeral"/>
        <w:numPr>
          <w:ilvl w:val="2"/>
          <w:numId w:val="1"/>
        </w:numPr>
        <w:rPr>
          <w:szCs w:val="20"/>
        </w:rPr>
      </w:pPr>
      <w:r w:rsidRPr="00E156C1">
        <w:rPr>
          <w:szCs w:val="20"/>
        </w:rPr>
        <w:t xml:space="preserve">Cuando las partes detecten alguna evidencia de una posible actividad maliciosa, la parte que realice el descubrimiento lo notificará a su contraparte inmediatamente, y proveerá dicha evidencia conforme a los plazos y procedimientos que la CRE prevea para tal efecto. La parte responsable del equipo en el que se detectó la actividad maliciosa debe realizar la investigación y tomar las medidas de contención y erradicación de manera inmediata, en coordinación con su contraparte en el Punto de Conectividad. </w:t>
      </w:r>
      <w:r>
        <w:rPr>
          <w:szCs w:val="20"/>
        </w:rPr>
        <w:t>E</w:t>
      </w:r>
      <w:r w:rsidRPr="00E156C1">
        <w:rPr>
          <w:szCs w:val="20"/>
        </w:rPr>
        <w:t xml:space="preserve">n caso de que </w:t>
      </w:r>
      <w:r>
        <w:rPr>
          <w:szCs w:val="20"/>
        </w:rPr>
        <w:t>existan o puedan existir daños a</w:t>
      </w:r>
      <w:r w:rsidRPr="00E156C1">
        <w:rPr>
          <w:szCs w:val="20"/>
        </w:rPr>
        <w:t xml:space="preserve"> la información</w:t>
      </w:r>
      <w:r>
        <w:rPr>
          <w:szCs w:val="20"/>
        </w:rPr>
        <w:t>,</w:t>
      </w:r>
      <w:r w:rsidRPr="00E156C1">
        <w:rPr>
          <w:szCs w:val="20"/>
        </w:rPr>
        <w:t xml:space="preserve"> se realizará </w:t>
      </w:r>
      <w:r>
        <w:rPr>
          <w:szCs w:val="20"/>
        </w:rPr>
        <w:t>c</w:t>
      </w:r>
      <w:r w:rsidRPr="00E156C1">
        <w:rPr>
          <w:szCs w:val="20"/>
        </w:rPr>
        <w:t>onjuntamente un recurso de remediación.</w:t>
      </w:r>
    </w:p>
    <w:p w14:paraId="2C769898" w14:textId="77777777" w:rsidR="00327339" w:rsidRDefault="00327339" w:rsidP="00327339">
      <w:pPr>
        <w:pStyle w:val="Numeral"/>
        <w:numPr>
          <w:ilvl w:val="2"/>
          <w:numId w:val="1"/>
        </w:numPr>
        <w:rPr>
          <w:szCs w:val="20"/>
        </w:rPr>
      </w:pPr>
      <w:r w:rsidRPr="00313E25">
        <w:rPr>
          <w:szCs w:val="20"/>
        </w:rPr>
        <w:t>En el momento en que ocurra algún incidente de seguridad entre los equipos localizados en el Punto de Conectividad, las partes involucradas en dicho punto deberán coordinarse e intercambiar la información necesaria, conforme a lo que establezcan las guías operativas o procedimientos relativos al mantenimiento de los sistemas de TIC, a efe</w:t>
      </w:r>
      <w:r>
        <w:rPr>
          <w:szCs w:val="20"/>
        </w:rPr>
        <w:t>cto de resolver dicho incidente.</w:t>
      </w:r>
    </w:p>
    <w:p w14:paraId="5CC8C679" w14:textId="77777777" w:rsidR="00327339" w:rsidRPr="00313E25" w:rsidRDefault="00327339" w:rsidP="00327339">
      <w:pPr>
        <w:pStyle w:val="Numeral"/>
        <w:numPr>
          <w:ilvl w:val="2"/>
          <w:numId w:val="1"/>
        </w:numPr>
        <w:rPr>
          <w:szCs w:val="20"/>
        </w:rPr>
      </w:pPr>
      <w:r w:rsidRPr="00313E25">
        <w:rPr>
          <w:szCs w:val="20"/>
        </w:rPr>
        <w:t>Red Privada Virtual (VPN)</w:t>
      </w:r>
    </w:p>
    <w:p w14:paraId="1D730632" w14:textId="77777777" w:rsidR="00327339" w:rsidRPr="00313E25" w:rsidRDefault="00327339" w:rsidP="00327339">
      <w:pPr>
        <w:pStyle w:val="Inciso"/>
        <w:numPr>
          <w:ilvl w:val="2"/>
          <w:numId w:val="21"/>
        </w:numPr>
        <w:ind w:left="1418" w:hanging="567"/>
        <w:rPr>
          <w:szCs w:val="20"/>
        </w:rPr>
      </w:pPr>
      <w:r w:rsidRPr="00313E25">
        <w:rPr>
          <w:szCs w:val="20"/>
        </w:rPr>
        <w:t xml:space="preserve">Para que una parte pueda acceder por VPN a los sistemas del CENACE, o en su caso, del Transportista o Distribuidor, deberá contar con autorización del CENACE, </w:t>
      </w:r>
      <w:r>
        <w:rPr>
          <w:szCs w:val="20"/>
        </w:rPr>
        <w:t>d</w:t>
      </w:r>
      <w:r w:rsidRPr="00313E25">
        <w:rPr>
          <w:szCs w:val="20"/>
        </w:rPr>
        <w:t xml:space="preserve">el Transportista o </w:t>
      </w:r>
      <w:r>
        <w:rPr>
          <w:szCs w:val="20"/>
        </w:rPr>
        <w:t>d</w:t>
      </w:r>
      <w:r w:rsidRPr="00313E25">
        <w:rPr>
          <w:szCs w:val="20"/>
        </w:rPr>
        <w:t>el Distribuidor. Además, debe contar con métodos de autenticación y cifrado de datos.</w:t>
      </w:r>
    </w:p>
    <w:p w14:paraId="60C177C4" w14:textId="77777777" w:rsidR="00327339" w:rsidRDefault="00327339" w:rsidP="00327339">
      <w:pPr>
        <w:pStyle w:val="Inciso"/>
        <w:numPr>
          <w:ilvl w:val="2"/>
          <w:numId w:val="21"/>
        </w:numPr>
        <w:ind w:left="1418" w:hanging="567"/>
        <w:rPr>
          <w:szCs w:val="20"/>
        </w:rPr>
      </w:pPr>
      <w:r w:rsidRPr="00313E25">
        <w:rPr>
          <w:szCs w:val="20"/>
        </w:rPr>
        <w:t xml:space="preserve">El acceso </w:t>
      </w:r>
      <w:r>
        <w:rPr>
          <w:szCs w:val="20"/>
        </w:rPr>
        <w:t>por</w:t>
      </w:r>
      <w:r w:rsidRPr="00313E25">
        <w:rPr>
          <w:szCs w:val="20"/>
        </w:rPr>
        <w:t xml:space="preserve"> VPN a los </w:t>
      </w:r>
      <w:r>
        <w:rPr>
          <w:szCs w:val="20"/>
        </w:rPr>
        <w:t xml:space="preserve">sistemas </w:t>
      </w:r>
      <w:r w:rsidRPr="00313E25">
        <w:rPr>
          <w:szCs w:val="20"/>
        </w:rPr>
        <w:t xml:space="preserve">del CENACE, </w:t>
      </w:r>
      <w:r>
        <w:rPr>
          <w:szCs w:val="20"/>
        </w:rPr>
        <w:t xml:space="preserve">del </w:t>
      </w:r>
      <w:r w:rsidRPr="00313E25">
        <w:rPr>
          <w:szCs w:val="20"/>
        </w:rPr>
        <w:t xml:space="preserve">Transportista o </w:t>
      </w:r>
      <w:r>
        <w:rPr>
          <w:szCs w:val="20"/>
        </w:rPr>
        <w:t xml:space="preserve">del Distribuidor </w:t>
      </w:r>
      <w:r w:rsidRPr="00313E25">
        <w:rPr>
          <w:szCs w:val="20"/>
        </w:rPr>
        <w:t>queda restringido exclusivamente a los equipos autorizados para e</w:t>
      </w:r>
      <w:r>
        <w:rPr>
          <w:szCs w:val="20"/>
        </w:rPr>
        <w:t xml:space="preserve">llo. </w:t>
      </w:r>
    </w:p>
    <w:p w14:paraId="791C7E9B" w14:textId="77777777" w:rsidR="00327339" w:rsidRPr="007908FA" w:rsidRDefault="00327339" w:rsidP="00327339">
      <w:pPr>
        <w:pStyle w:val="Inciso"/>
        <w:numPr>
          <w:ilvl w:val="2"/>
          <w:numId w:val="21"/>
        </w:numPr>
        <w:ind w:left="1418" w:hanging="567"/>
        <w:rPr>
          <w:szCs w:val="20"/>
        </w:rPr>
      </w:pPr>
      <w:r>
        <w:rPr>
          <w:szCs w:val="20"/>
        </w:rPr>
        <w:lastRenderedPageBreak/>
        <w:t xml:space="preserve">Cuando se pretenda conectar al sistema RID a través de una VPN, la </w:t>
      </w:r>
      <w:r w:rsidRPr="00313E25">
        <w:rPr>
          <w:szCs w:val="20"/>
        </w:rPr>
        <w:t xml:space="preserve">Central </w:t>
      </w:r>
      <w:r w:rsidRPr="007908FA">
        <w:rPr>
          <w:szCs w:val="20"/>
        </w:rPr>
        <w:t>Eléctrica o el Centro de Carga</w:t>
      </w:r>
      <w:r>
        <w:rPr>
          <w:szCs w:val="20"/>
        </w:rPr>
        <w:t xml:space="preserve"> </w:t>
      </w:r>
      <w:r w:rsidRPr="007908FA">
        <w:rPr>
          <w:szCs w:val="20"/>
        </w:rPr>
        <w:t>debe</w:t>
      </w:r>
      <w:r>
        <w:rPr>
          <w:szCs w:val="20"/>
        </w:rPr>
        <w:t>n</w:t>
      </w:r>
      <w:r w:rsidRPr="007908FA">
        <w:rPr>
          <w:szCs w:val="20"/>
        </w:rPr>
        <w:t xml:space="preserve"> cumplir con los requisitos solicitados en el numeral 3.1.4 de este anexo.</w:t>
      </w:r>
    </w:p>
    <w:p w14:paraId="5531E96F" w14:textId="77777777" w:rsidR="00327339" w:rsidRDefault="00327339" w:rsidP="00327339">
      <w:pPr>
        <w:pStyle w:val="Numeral"/>
        <w:numPr>
          <w:ilvl w:val="2"/>
          <w:numId w:val="21"/>
        </w:numPr>
        <w:ind w:left="1418" w:hanging="567"/>
        <w:rPr>
          <w:szCs w:val="20"/>
        </w:rPr>
      </w:pPr>
      <w:r w:rsidRPr="00313E25">
        <w:rPr>
          <w:szCs w:val="20"/>
        </w:rPr>
        <w:t xml:space="preserve">El Transportista, Distribuidor, Central Eléctrica o Centro de Carga </w:t>
      </w:r>
      <w:r>
        <w:rPr>
          <w:szCs w:val="20"/>
        </w:rPr>
        <w:t xml:space="preserve">que cuente </w:t>
      </w:r>
      <w:r w:rsidRPr="00313E25">
        <w:rPr>
          <w:szCs w:val="20"/>
        </w:rPr>
        <w:t xml:space="preserve">con acceso </w:t>
      </w:r>
      <w:r>
        <w:rPr>
          <w:szCs w:val="20"/>
        </w:rPr>
        <w:t xml:space="preserve">por </w:t>
      </w:r>
      <w:r w:rsidRPr="00313E25">
        <w:rPr>
          <w:szCs w:val="20"/>
        </w:rPr>
        <w:t>VPN será el responsable del uso que se dé a dicho servicio.</w:t>
      </w:r>
    </w:p>
    <w:p w14:paraId="76D51B2A" w14:textId="77777777" w:rsidR="00327339" w:rsidRPr="00313E25" w:rsidRDefault="00327339" w:rsidP="00327339">
      <w:pPr>
        <w:pStyle w:val="Numeral"/>
        <w:numPr>
          <w:ilvl w:val="2"/>
          <w:numId w:val="1"/>
        </w:numPr>
        <w:rPr>
          <w:szCs w:val="20"/>
        </w:rPr>
      </w:pPr>
      <w:r w:rsidRPr="00313E25">
        <w:rPr>
          <w:szCs w:val="20"/>
        </w:rPr>
        <w:t xml:space="preserve">Bitácoras </w:t>
      </w:r>
    </w:p>
    <w:p w14:paraId="68802446" w14:textId="77777777" w:rsidR="00327339" w:rsidRPr="00313E25" w:rsidRDefault="00327339" w:rsidP="00327339">
      <w:pPr>
        <w:pStyle w:val="Numeral"/>
        <w:numPr>
          <w:ilvl w:val="2"/>
          <w:numId w:val="23"/>
        </w:numPr>
        <w:ind w:left="1418" w:hanging="567"/>
        <w:rPr>
          <w:szCs w:val="20"/>
        </w:rPr>
      </w:pPr>
      <w:r w:rsidRPr="00313E25">
        <w:rPr>
          <w:szCs w:val="20"/>
        </w:rPr>
        <w:t>El CENACE, Transportista, Distribuidor, Central Eléctrica y Centro de Carga deben llevar bitácoras sobre los equipos críticos definidos con base en los criterios de confiabilidad que</w:t>
      </w:r>
      <w:r>
        <w:rPr>
          <w:szCs w:val="20"/>
        </w:rPr>
        <w:t xml:space="preserve"> </w:t>
      </w:r>
      <w:r w:rsidRPr="00313E25">
        <w:rPr>
          <w:szCs w:val="20"/>
        </w:rPr>
        <w:t>emita la CRE. Estas bitácoras deben almacenarse durante al menos un año.</w:t>
      </w:r>
    </w:p>
    <w:p w14:paraId="16FC819A" w14:textId="77777777" w:rsidR="00327339" w:rsidRPr="00313E25" w:rsidRDefault="00327339" w:rsidP="00327339">
      <w:pPr>
        <w:pStyle w:val="Numeral"/>
        <w:numPr>
          <w:ilvl w:val="2"/>
          <w:numId w:val="23"/>
        </w:numPr>
        <w:ind w:left="1418" w:hanging="567"/>
        <w:rPr>
          <w:szCs w:val="20"/>
        </w:rPr>
      </w:pPr>
      <w:r w:rsidRPr="00313E25">
        <w:rPr>
          <w:szCs w:val="20"/>
        </w:rPr>
        <w:t xml:space="preserve">Las bitácoras deben contener el tipo de consulta o los cambios realizados en la configuración de las aplicaciones, acompañados del nombre del usuario, el nombre de equipo, la dirección IP, y las horas de entrada y salida del sistema. </w:t>
      </w:r>
    </w:p>
    <w:p w14:paraId="7004A132" w14:textId="6EB46017" w:rsidR="00327339" w:rsidRPr="00313E25" w:rsidRDefault="00F9082A" w:rsidP="00327339">
      <w:pPr>
        <w:pStyle w:val="Numeral"/>
        <w:numPr>
          <w:ilvl w:val="2"/>
          <w:numId w:val="23"/>
        </w:numPr>
        <w:ind w:left="1418" w:hanging="567"/>
        <w:rPr>
          <w:szCs w:val="20"/>
        </w:rPr>
      </w:pPr>
      <w:r>
        <w:t>Las bitácoras deberán ser utilizadas por la parte responsable como documentación para la solución y reporte de incidentes, con el fin de validar cambios de configuración del equipo</w:t>
      </w:r>
      <w:r w:rsidR="00327339" w:rsidRPr="00313E25">
        <w:rPr>
          <w:szCs w:val="20"/>
        </w:rPr>
        <w:t>.</w:t>
      </w:r>
    </w:p>
    <w:p w14:paraId="7CA8FA77" w14:textId="77777777" w:rsidR="00327339" w:rsidRPr="00313E25" w:rsidRDefault="00327339" w:rsidP="00327339">
      <w:pPr>
        <w:pStyle w:val="Numeral"/>
        <w:numPr>
          <w:ilvl w:val="2"/>
          <w:numId w:val="1"/>
        </w:numPr>
        <w:rPr>
          <w:szCs w:val="20"/>
        </w:rPr>
      </w:pPr>
      <w:r w:rsidRPr="00313E25">
        <w:rPr>
          <w:szCs w:val="20"/>
        </w:rPr>
        <w:t>Endurecimiento</w:t>
      </w:r>
    </w:p>
    <w:p w14:paraId="799D9872" w14:textId="77777777" w:rsidR="00327339" w:rsidRPr="00313E25" w:rsidRDefault="00327339" w:rsidP="00327339">
      <w:pPr>
        <w:pStyle w:val="Numeral"/>
        <w:ind w:left="851"/>
        <w:rPr>
          <w:szCs w:val="20"/>
        </w:rPr>
      </w:pPr>
      <w:r>
        <w:rPr>
          <w:szCs w:val="20"/>
        </w:rPr>
        <w:t>S</w:t>
      </w:r>
      <w:r w:rsidRPr="00313E25">
        <w:rPr>
          <w:szCs w:val="20"/>
        </w:rPr>
        <w:t>iempre que no afecte la operación y mantenimiento del propio equipo</w:t>
      </w:r>
      <w:r>
        <w:rPr>
          <w:szCs w:val="20"/>
        </w:rPr>
        <w:t>,</w:t>
      </w:r>
      <w:r w:rsidRPr="00313E25">
        <w:rPr>
          <w:szCs w:val="20"/>
        </w:rPr>
        <w:t xml:space="preserve"> </w:t>
      </w:r>
      <w:r>
        <w:rPr>
          <w:szCs w:val="20"/>
        </w:rPr>
        <w:t>s</w:t>
      </w:r>
      <w:r w:rsidRPr="00313E25">
        <w:rPr>
          <w:szCs w:val="20"/>
        </w:rPr>
        <w:t xml:space="preserve">e debe aplicar endurecimiento a todos los equipos utilizados, </w:t>
      </w:r>
      <w:r>
        <w:rPr>
          <w:szCs w:val="20"/>
        </w:rPr>
        <w:t>a</w:t>
      </w:r>
      <w:r w:rsidRPr="00313E25">
        <w:rPr>
          <w:szCs w:val="20"/>
        </w:rPr>
        <w:t xml:space="preserve"> su sistema operativo, </w:t>
      </w:r>
      <w:r>
        <w:rPr>
          <w:szCs w:val="20"/>
        </w:rPr>
        <w:t xml:space="preserve">al </w:t>
      </w:r>
      <w:r w:rsidRPr="00313E25">
        <w:rPr>
          <w:szCs w:val="20"/>
        </w:rPr>
        <w:t>manejador de base de datos y</w:t>
      </w:r>
      <w:r>
        <w:rPr>
          <w:szCs w:val="20"/>
        </w:rPr>
        <w:t xml:space="preserve"> a los</w:t>
      </w:r>
      <w:r w:rsidRPr="00313E25">
        <w:rPr>
          <w:szCs w:val="20"/>
        </w:rPr>
        <w:t xml:space="preserve"> aplicativos, como lo son, con carácter enunciativo mas no limitativo, </w:t>
      </w:r>
      <w:r>
        <w:rPr>
          <w:szCs w:val="20"/>
        </w:rPr>
        <w:t>e</w:t>
      </w:r>
      <w:r w:rsidRPr="00313E25">
        <w:rPr>
          <w:szCs w:val="20"/>
        </w:rPr>
        <w:t>l deshabilitado de puertos físicos y lógicos no usados, la actualización a la última versión estable de software, la aplicación de parches de seguridad y el deshabilitado de servicios que no son utilizados o que son considerados como no seguros, como Telnet y ftp.</w:t>
      </w:r>
    </w:p>
    <w:p w14:paraId="2DEE38F0" w14:textId="77777777" w:rsidR="00327339" w:rsidRPr="00313E25" w:rsidRDefault="00327339" w:rsidP="00327339">
      <w:pPr>
        <w:pStyle w:val="Numeral"/>
        <w:numPr>
          <w:ilvl w:val="2"/>
          <w:numId w:val="1"/>
        </w:numPr>
        <w:rPr>
          <w:szCs w:val="20"/>
        </w:rPr>
      </w:pPr>
      <w:r w:rsidRPr="00313E25">
        <w:rPr>
          <w:szCs w:val="20"/>
        </w:rPr>
        <w:t>Planes de contingencia</w:t>
      </w:r>
    </w:p>
    <w:p w14:paraId="270B1BD7" w14:textId="77777777" w:rsidR="00327339" w:rsidRPr="00313E25" w:rsidRDefault="00327339" w:rsidP="00327339">
      <w:pPr>
        <w:pStyle w:val="Numeral"/>
        <w:numPr>
          <w:ilvl w:val="2"/>
          <w:numId w:val="24"/>
        </w:numPr>
        <w:rPr>
          <w:szCs w:val="20"/>
        </w:rPr>
      </w:pPr>
      <w:r w:rsidRPr="00313E25">
        <w:rPr>
          <w:szCs w:val="20"/>
        </w:rPr>
        <w:t>El CENACE, Transportista, Distribuidor, Central Eléctrica y Centro de Carga deben contar con planes de contingencia de TIC para mantener o restaurar las operaciones ante eventos de emergencia, fallas del sistema o desastres</w:t>
      </w:r>
      <w:r>
        <w:rPr>
          <w:szCs w:val="20"/>
        </w:rPr>
        <w:t xml:space="preserve"> naturales</w:t>
      </w:r>
      <w:r w:rsidRPr="00313E25">
        <w:rPr>
          <w:szCs w:val="20"/>
        </w:rPr>
        <w:t xml:space="preserve">. </w:t>
      </w:r>
    </w:p>
    <w:p w14:paraId="7037D9F9" w14:textId="77777777" w:rsidR="00327339" w:rsidRPr="00313E25" w:rsidRDefault="00327339" w:rsidP="00327339">
      <w:pPr>
        <w:pStyle w:val="Numeral"/>
        <w:numPr>
          <w:ilvl w:val="2"/>
          <w:numId w:val="24"/>
        </w:numPr>
        <w:ind w:left="1418" w:hanging="567"/>
        <w:rPr>
          <w:szCs w:val="20"/>
        </w:rPr>
      </w:pPr>
      <w:r w:rsidRPr="00313E25">
        <w:rPr>
          <w:szCs w:val="20"/>
        </w:rPr>
        <w:t xml:space="preserve">En dichos planes se debe especificar los roles y responsabilidades, la asignación del personal y las actividades asociadas a la restauración. </w:t>
      </w:r>
    </w:p>
    <w:p w14:paraId="29B2219D" w14:textId="77777777" w:rsidR="00327339" w:rsidRPr="00313E25" w:rsidRDefault="00327339" w:rsidP="00327339">
      <w:pPr>
        <w:pStyle w:val="Numeral"/>
        <w:numPr>
          <w:ilvl w:val="2"/>
          <w:numId w:val="24"/>
        </w:numPr>
        <w:ind w:left="1418" w:hanging="567"/>
        <w:rPr>
          <w:szCs w:val="20"/>
        </w:rPr>
      </w:pPr>
      <w:r w:rsidRPr="00313E25">
        <w:rPr>
          <w:szCs w:val="20"/>
        </w:rPr>
        <w:t>Para llevar a cabo la coordinación de actividades entre el CENACE, Transportista, Distribuidor, Central Eléctrica y Centro de Carga, cuando así corresponda, éstos deben compartir la lista de asignación de personal y su información de contacto.</w:t>
      </w:r>
    </w:p>
    <w:p w14:paraId="31C05D20" w14:textId="77777777" w:rsidR="00327339" w:rsidRPr="00313E25" w:rsidRDefault="00327339" w:rsidP="00327339">
      <w:pPr>
        <w:pStyle w:val="Numeral"/>
        <w:numPr>
          <w:ilvl w:val="2"/>
          <w:numId w:val="1"/>
        </w:numPr>
        <w:rPr>
          <w:szCs w:val="20"/>
        </w:rPr>
      </w:pPr>
      <w:r w:rsidRPr="00313E25">
        <w:rPr>
          <w:szCs w:val="20"/>
        </w:rPr>
        <w:t>Autenticación</w:t>
      </w:r>
    </w:p>
    <w:p w14:paraId="3BC16D57" w14:textId="77777777" w:rsidR="00327339" w:rsidRPr="00313E25" w:rsidRDefault="00327339" w:rsidP="00327339">
      <w:pPr>
        <w:pStyle w:val="Subinciso"/>
        <w:tabs>
          <w:tab w:val="clear" w:pos="567"/>
          <w:tab w:val="left" w:pos="851"/>
        </w:tabs>
        <w:ind w:left="851"/>
        <w:rPr>
          <w:szCs w:val="20"/>
        </w:rPr>
      </w:pPr>
      <w:r w:rsidRPr="00313E25">
        <w:rPr>
          <w:szCs w:val="20"/>
        </w:rPr>
        <w:t>Toda conectividad indicada en el Manual debe realizarse bajo autenticación. La implementación de parámetros de contraseñas (</w:t>
      </w:r>
      <w:proofErr w:type="spellStart"/>
      <w:r w:rsidRPr="00313E25">
        <w:rPr>
          <w:szCs w:val="20"/>
        </w:rPr>
        <w:t>password</w:t>
      </w:r>
      <w:proofErr w:type="spellEnd"/>
      <w:r w:rsidRPr="00313E25">
        <w:rPr>
          <w:szCs w:val="20"/>
        </w:rPr>
        <w:t>) quedará sujeta a las restricciones del sistema operativo o al software de seguridad, con el fin de maximizar la facilidad de uso sin sacrificar la seguridad en ninguna sección de la infraestructura o comunicaciones.</w:t>
      </w:r>
    </w:p>
    <w:p w14:paraId="068C7ED9" w14:textId="77777777" w:rsidR="00327339" w:rsidRPr="00313E25" w:rsidRDefault="00327339" w:rsidP="00327339">
      <w:pPr>
        <w:pStyle w:val="Numeral"/>
        <w:numPr>
          <w:ilvl w:val="2"/>
          <w:numId w:val="1"/>
        </w:numPr>
        <w:rPr>
          <w:szCs w:val="20"/>
        </w:rPr>
      </w:pPr>
      <w:r>
        <w:rPr>
          <w:szCs w:val="20"/>
        </w:rPr>
        <w:t>Sistemas a</w:t>
      </w:r>
      <w:r w:rsidRPr="00313E25">
        <w:rPr>
          <w:szCs w:val="20"/>
        </w:rPr>
        <w:t>ntivirus</w:t>
      </w:r>
    </w:p>
    <w:p w14:paraId="56EAEEF2" w14:textId="77777777" w:rsidR="00327339" w:rsidRPr="00313E25" w:rsidRDefault="00327339" w:rsidP="00327339">
      <w:pPr>
        <w:pStyle w:val="Subinciso"/>
        <w:tabs>
          <w:tab w:val="clear" w:pos="567"/>
          <w:tab w:val="left" w:pos="851"/>
        </w:tabs>
        <w:ind w:left="851"/>
        <w:rPr>
          <w:szCs w:val="20"/>
        </w:rPr>
      </w:pPr>
      <w:r w:rsidRPr="00313E25">
        <w:rPr>
          <w:szCs w:val="20"/>
        </w:rPr>
        <w:t xml:space="preserve">Se requiere instalar </w:t>
      </w:r>
      <w:r>
        <w:rPr>
          <w:szCs w:val="20"/>
        </w:rPr>
        <w:t xml:space="preserve">sistemas </w:t>
      </w:r>
      <w:r w:rsidRPr="00313E25">
        <w:rPr>
          <w:szCs w:val="20"/>
        </w:rPr>
        <w:t>antivirus con licencia vigente y firmas actualizadas en aquellos equipos donde sea técnicamente factible.</w:t>
      </w:r>
    </w:p>
    <w:p w14:paraId="0DDDA8E3" w14:textId="77777777" w:rsidR="00327339" w:rsidRPr="00313E25" w:rsidRDefault="00327339" w:rsidP="00327339">
      <w:pPr>
        <w:pStyle w:val="Numeral"/>
        <w:numPr>
          <w:ilvl w:val="2"/>
          <w:numId w:val="1"/>
        </w:numPr>
        <w:rPr>
          <w:szCs w:val="20"/>
        </w:rPr>
      </w:pPr>
      <w:r w:rsidRPr="00313E25">
        <w:rPr>
          <w:szCs w:val="20"/>
        </w:rPr>
        <w:t>Uso de certificados digitales</w:t>
      </w:r>
    </w:p>
    <w:p w14:paraId="0BA4C052" w14:textId="77777777" w:rsidR="00327339" w:rsidRPr="00313E25" w:rsidRDefault="00327339" w:rsidP="00327339">
      <w:pPr>
        <w:pStyle w:val="Numeral"/>
        <w:numPr>
          <w:ilvl w:val="2"/>
          <w:numId w:val="26"/>
        </w:numPr>
        <w:rPr>
          <w:szCs w:val="20"/>
        </w:rPr>
      </w:pPr>
      <w:r>
        <w:rPr>
          <w:szCs w:val="20"/>
        </w:rPr>
        <w:lastRenderedPageBreak/>
        <w:t xml:space="preserve">Para las aplicaciones que requieran autenticación hacia el CENACE, </w:t>
      </w:r>
      <w:r w:rsidRPr="00313E25">
        <w:rPr>
          <w:szCs w:val="20"/>
        </w:rPr>
        <w:t>Transportista, Distribuidor, Central Eléctrica o Centro de Carga</w:t>
      </w:r>
      <w:r>
        <w:rPr>
          <w:szCs w:val="20"/>
        </w:rPr>
        <w:t>,</w:t>
      </w:r>
      <w:r w:rsidRPr="00313E25">
        <w:rPr>
          <w:szCs w:val="20"/>
        </w:rPr>
        <w:t xml:space="preserve"> </w:t>
      </w:r>
      <w:r>
        <w:rPr>
          <w:szCs w:val="20"/>
        </w:rPr>
        <w:t xml:space="preserve">ésta deberá realizarse a través de </w:t>
      </w:r>
      <w:r w:rsidRPr="00313E25">
        <w:rPr>
          <w:szCs w:val="20"/>
        </w:rPr>
        <w:t>certificados</w:t>
      </w:r>
      <w:r>
        <w:rPr>
          <w:szCs w:val="20"/>
        </w:rPr>
        <w:t xml:space="preserve"> digitales</w:t>
      </w:r>
      <w:r w:rsidRPr="00313E25">
        <w:rPr>
          <w:szCs w:val="20"/>
        </w:rPr>
        <w:t>.</w:t>
      </w:r>
    </w:p>
    <w:p w14:paraId="4A72B193" w14:textId="77777777" w:rsidR="00327339" w:rsidRPr="00313E25" w:rsidRDefault="00327339" w:rsidP="00327339">
      <w:pPr>
        <w:pStyle w:val="Numeral"/>
        <w:numPr>
          <w:ilvl w:val="2"/>
          <w:numId w:val="26"/>
        </w:numPr>
        <w:rPr>
          <w:szCs w:val="20"/>
        </w:rPr>
      </w:pPr>
      <w:r>
        <w:rPr>
          <w:szCs w:val="20"/>
        </w:rPr>
        <w:t>Los certificados digitales</w:t>
      </w:r>
      <w:r w:rsidRPr="00313E25">
        <w:rPr>
          <w:szCs w:val="20"/>
        </w:rPr>
        <w:t xml:space="preserve"> pueden ser utilizados por alguna persona, sistema, dispositivo o aplicación perteneciente </w:t>
      </w:r>
      <w:r>
        <w:rPr>
          <w:szCs w:val="20"/>
        </w:rPr>
        <w:t>al</w:t>
      </w:r>
      <w:r w:rsidRPr="00313E25">
        <w:rPr>
          <w:szCs w:val="20"/>
        </w:rPr>
        <w:t xml:space="preserve"> </w:t>
      </w:r>
      <w:r>
        <w:rPr>
          <w:szCs w:val="20"/>
        </w:rPr>
        <w:t xml:space="preserve">CENACE, </w:t>
      </w:r>
      <w:r w:rsidRPr="00313E25">
        <w:rPr>
          <w:szCs w:val="20"/>
        </w:rPr>
        <w:t>Transportista, Distribuidor, Central Eléctrica o Centro de Carga</w:t>
      </w:r>
      <w:r>
        <w:rPr>
          <w:szCs w:val="20"/>
        </w:rPr>
        <w:t>, según sea el caso.</w:t>
      </w:r>
    </w:p>
    <w:p w14:paraId="2D133F8D" w14:textId="77777777" w:rsidR="00327339" w:rsidRPr="00313E25" w:rsidRDefault="00327339" w:rsidP="00327339">
      <w:pPr>
        <w:pStyle w:val="Numeral"/>
        <w:numPr>
          <w:ilvl w:val="2"/>
          <w:numId w:val="26"/>
        </w:numPr>
        <w:rPr>
          <w:szCs w:val="20"/>
        </w:rPr>
      </w:pPr>
      <w:r w:rsidRPr="00313E25">
        <w:rPr>
          <w:szCs w:val="20"/>
        </w:rPr>
        <w:t>El</w:t>
      </w:r>
      <w:r>
        <w:rPr>
          <w:szCs w:val="20"/>
        </w:rPr>
        <w:t xml:space="preserve"> CENACE, </w:t>
      </w:r>
      <w:r w:rsidRPr="00313E25">
        <w:rPr>
          <w:szCs w:val="20"/>
        </w:rPr>
        <w:t>Transportista, Distribuidor, Central Eléctrica y Centro de Carga deben proteger los certificados digitales, con base en lo señalado en los estándares aceptables de la industria.</w:t>
      </w:r>
    </w:p>
    <w:p w14:paraId="5679D452" w14:textId="77777777" w:rsidR="00327339" w:rsidRDefault="00327339" w:rsidP="00327339">
      <w:pPr>
        <w:pStyle w:val="Numeral"/>
        <w:numPr>
          <w:ilvl w:val="2"/>
          <w:numId w:val="26"/>
        </w:numPr>
        <w:rPr>
          <w:szCs w:val="20"/>
        </w:rPr>
      </w:pPr>
      <w:r w:rsidRPr="00F434C7">
        <w:rPr>
          <w:szCs w:val="20"/>
        </w:rPr>
        <w:t>Cualquier transacción que ocurra con el uso del certificado digital es responsabilidad de</w:t>
      </w:r>
      <w:r>
        <w:rPr>
          <w:szCs w:val="20"/>
        </w:rPr>
        <w:t>l suscriptor de</w:t>
      </w:r>
      <w:r w:rsidRPr="00F434C7">
        <w:rPr>
          <w:szCs w:val="20"/>
        </w:rPr>
        <w:t>l certificado digital.</w:t>
      </w:r>
    </w:p>
    <w:p w14:paraId="1AD32E4D" w14:textId="77777777" w:rsidR="00327339" w:rsidRPr="00F434C7" w:rsidRDefault="00327339" w:rsidP="00327339">
      <w:pPr>
        <w:pStyle w:val="Numeral"/>
        <w:numPr>
          <w:ilvl w:val="2"/>
          <w:numId w:val="26"/>
        </w:numPr>
        <w:rPr>
          <w:szCs w:val="20"/>
        </w:rPr>
      </w:pPr>
      <w:r w:rsidRPr="00F434C7">
        <w:rPr>
          <w:szCs w:val="20"/>
        </w:rPr>
        <w:t xml:space="preserve">El </w:t>
      </w:r>
      <w:r>
        <w:rPr>
          <w:szCs w:val="20"/>
        </w:rPr>
        <w:t xml:space="preserve">CENACE, </w:t>
      </w:r>
      <w:r w:rsidRPr="00F434C7">
        <w:rPr>
          <w:szCs w:val="20"/>
        </w:rPr>
        <w:t>Transportista, Distribuidor, Central Eléctrica y Centro de Carga no tienen permitido compartir entre ellos sus certificados digitales ni las contraseñas relacionadas.</w:t>
      </w:r>
    </w:p>
    <w:p w14:paraId="32A3F1A7" w14:textId="77777777" w:rsidR="00327339" w:rsidRPr="00313E25" w:rsidRDefault="00327339" w:rsidP="00327339">
      <w:pPr>
        <w:pStyle w:val="Numeral"/>
        <w:numPr>
          <w:ilvl w:val="2"/>
          <w:numId w:val="26"/>
        </w:numPr>
        <w:rPr>
          <w:szCs w:val="20"/>
        </w:rPr>
      </w:pPr>
      <w:r>
        <w:rPr>
          <w:szCs w:val="20"/>
        </w:rPr>
        <w:t>E</w:t>
      </w:r>
      <w:r w:rsidRPr="00313E25">
        <w:rPr>
          <w:szCs w:val="20"/>
        </w:rPr>
        <w:t xml:space="preserve">l CENACE, el </w:t>
      </w:r>
      <w:r>
        <w:rPr>
          <w:szCs w:val="20"/>
        </w:rPr>
        <w:t xml:space="preserve">Transportista, </w:t>
      </w:r>
      <w:r w:rsidRPr="00313E25">
        <w:rPr>
          <w:szCs w:val="20"/>
        </w:rPr>
        <w:t xml:space="preserve">el Distribuidor, </w:t>
      </w:r>
      <w:r>
        <w:rPr>
          <w:szCs w:val="20"/>
        </w:rPr>
        <w:t>la Central Eléctrica o el Centro de Carga notificarán a su contraparte</w:t>
      </w:r>
      <w:r w:rsidRPr="00313E25">
        <w:rPr>
          <w:szCs w:val="20"/>
        </w:rPr>
        <w:t xml:space="preserve"> </w:t>
      </w:r>
      <w:r>
        <w:rPr>
          <w:szCs w:val="20"/>
        </w:rPr>
        <w:t>para revocar el certificado digital cuando</w:t>
      </w:r>
      <w:r w:rsidRPr="00313E25">
        <w:rPr>
          <w:szCs w:val="20"/>
        </w:rPr>
        <w:t>:</w:t>
      </w:r>
    </w:p>
    <w:p w14:paraId="567A578D" w14:textId="77777777" w:rsidR="00327339" w:rsidRPr="00313E25" w:rsidRDefault="00327339" w:rsidP="00327339">
      <w:pPr>
        <w:pStyle w:val="Inciso"/>
        <w:numPr>
          <w:ilvl w:val="0"/>
          <w:numId w:val="25"/>
        </w:numPr>
        <w:ind w:left="1985"/>
        <w:rPr>
          <w:szCs w:val="20"/>
        </w:rPr>
      </w:pPr>
      <w:r>
        <w:rPr>
          <w:szCs w:val="20"/>
        </w:rPr>
        <w:t>la</w:t>
      </w:r>
      <w:r w:rsidRPr="00313E25">
        <w:rPr>
          <w:szCs w:val="20"/>
        </w:rPr>
        <w:t xml:space="preserve"> información utilizada en el certificado digital </w:t>
      </w:r>
      <w:r>
        <w:rPr>
          <w:szCs w:val="20"/>
        </w:rPr>
        <w:t xml:space="preserve">ha </w:t>
      </w:r>
      <w:r w:rsidRPr="00313E25">
        <w:rPr>
          <w:szCs w:val="20"/>
        </w:rPr>
        <w:t>sufr</w:t>
      </w:r>
      <w:r>
        <w:rPr>
          <w:szCs w:val="20"/>
        </w:rPr>
        <w:t>ido</w:t>
      </w:r>
      <w:r w:rsidRPr="00313E25">
        <w:rPr>
          <w:szCs w:val="20"/>
        </w:rPr>
        <w:t xml:space="preserve"> cambios;</w:t>
      </w:r>
    </w:p>
    <w:p w14:paraId="2E7DABCB" w14:textId="77777777" w:rsidR="00327339" w:rsidRPr="00313E25" w:rsidRDefault="00327339" w:rsidP="00327339">
      <w:pPr>
        <w:pStyle w:val="Inciso"/>
        <w:numPr>
          <w:ilvl w:val="0"/>
          <w:numId w:val="25"/>
        </w:numPr>
        <w:ind w:left="1985"/>
        <w:rPr>
          <w:szCs w:val="20"/>
        </w:rPr>
      </w:pPr>
      <w:r w:rsidRPr="00313E25">
        <w:rPr>
          <w:szCs w:val="20"/>
        </w:rPr>
        <w:t>sospech</w:t>
      </w:r>
      <w:r>
        <w:rPr>
          <w:szCs w:val="20"/>
        </w:rPr>
        <w:t>a</w:t>
      </w:r>
      <w:r w:rsidRPr="00313E25">
        <w:rPr>
          <w:szCs w:val="20"/>
        </w:rPr>
        <w:t xml:space="preserve"> que la llave privada</w:t>
      </w:r>
      <w:r>
        <w:rPr>
          <w:szCs w:val="20"/>
        </w:rPr>
        <w:t xml:space="preserve"> está comprometida;</w:t>
      </w:r>
    </w:p>
    <w:p w14:paraId="26344FFB" w14:textId="77777777" w:rsidR="00327339" w:rsidRDefault="00327339" w:rsidP="00327339">
      <w:pPr>
        <w:pStyle w:val="Inciso"/>
        <w:numPr>
          <w:ilvl w:val="0"/>
          <w:numId w:val="25"/>
        </w:numPr>
        <w:ind w:left="1985"/>
        <w:rPr>
          <w:szCs w:val="20"/>
        </w:rPr>
      </w:pPr>
      <w:r>
        <w:rPr>
          <w:szCs w:val="20"/>
        </w:rPr>
        <w:t xml:space="preserve">no </w:t>
      </w:r>
      <w:r w:rsidRPr="00313E25">
        <w:rPr>
          <w:szCs w:val="20"/>
        </w:rPr>
        <w:t>requier</w:t>
      </w:r>
      <w:r>
        <w:rPr>
          <w:szCs w:val="20"/>
        </w:rPr>
        <w:t>e</w:t>
      </w:r>
      <w:r w:rsidRPr="00313E25">
        <w:rPr>
          <w:szCs w:val="20"/>
        </w:rPr>
        <w:t xml:space="preserve"> más el uso del certificado digital</w:t>
      </w:r>
      <w:r>
        <w:rPr>
          <w:szCs w:val="20"/>
        </w:rPr>
        <w:t>, o</w:t>
      </w:r>
      <w:r w:rsidRPr="00B50D56">
        <w:rPr>
          <w:szCs w:val="20"/>
        </w:rPr>
        <w:t xml:space="preserve"> </w:t>
      </w:r>
    </w:p>
    <w:p w14:paraId="3FED23BB" w14:textId="77777777" w:rsidR="00327339" w:rsidRPr="00313E25" w:rsidRDefault="00327339" w:rsidP="00327339">
      <w:pPr>
        <w:pStyle w:val="Inciso"/>
        <w:numPr>
          <w:ilvl w:val="0"/>
          <w:numId w:val="25"/>
        </w:numPr>
        <w:ind w:left="1985"/>
        <w:rPr>
          <w:szCs w:val="20"/>
        </w:rPr>
      </w:pPr>
      <w:r w:rsidRPr="00313E25">
        <w:rPr>
          <w:szCs w:val="20"/>
        </w:rPr>
        <w:t xml:space="preserve">el personal asignado al certificado digital ha sido cambiado o </w:t>
      </w:r>
      <w:r>
        <w:rPr>
          <w:szCs w:val="20"/>
        </w:rPr>
        <w:t>ya no labora</w:t>
      </w:r>
      <w:r w:rsidRPr="00313E25">
        <w:rPr>
          <w:szCs w:val="20"/>
        </w:rPr>
        <w:t xml:space="preserve"> en </w:t>
      </w:r>
      <w:r>
        <w:rPr>
          <w:szCs w:val="20"/>
        </w:rPr>
        <w:t xml:space="preserve">el CENACE, </w:t>
      </w:r>
      <w:r w:rsidRPr="00313E25">
        <w:rPr>
          <w:szCs w:val="20"/>
        </w:rPr>
        <w:t>el Transportista, Distribuidor, Central Eléctrica o Centro de Carga</w:t>
      </w:r>
      <w:r>
        <w:rPr>
          <w:szCs w:val="20"/>
        </w:rPr>
        <w:t>.</w:t>
      </w:r>
    </w:p>
    <w:p w14:paraId="078084B8" w14:textId="77777777" w:rsidR="00327339" w:rsidRPr="00313E25" w:rsidRDefault="00327339" w:rsidP="00327339">
      <w:pPr>
        <w:pStyle w:val="Numeral"/>
        <w:numPr>
          <w:ilvl w:val="2"/>
          <w:numId w:val="26"/>
        </w:numPr>
        <w:rPr>
          <w:szCs w:val="20"/>
        </w:rPr>
      </w:pPr>
      <w:r w:rsidRPr="00313E25">
        <w:rPr>
          <w:szCs w:val="20"/>
        </w:rPr>
        <w:t xml:space="preserve">La </w:t>
      </w:r>
      <w:r>
        <w:rPr>
          <w:szCs w:val="20"/>
        </w:rPr>
        <w:t>revocación la realizarán</w:t>
      </w:r>
      <w:r w:rsidRPr="00313E25">
        <w:rPr>
          <w:szCs w:val="20"/>
        </w:rPr>
        <w:t>:</w:t>
      </w:r>
    </w:p>
    <w:p w14:paraId="68703AC4" w14:textId="77777777" w:rsidR="00327339" w:rsidRPr="00313E25" w:rsidRDefault="00327339" w:rsidP="00327339">
      <w:pPr>
        <w:pStyle w:val="Inciso"/>
        <w:numPr>
          <w:ilvl w:val="0"/>
          <w:numId w:val="25"/>
        </w:numPr>
        <w:ind w:left="1985"/>
        <w:rPr>
          <w:szCs w:val="20"/>
        </w:rPr>
      </w:pPr>
      <w:r w:rsidRPr="00313E25">
        <w:rPr>
          <w:szCs w:val="20"/>
        </w:rPr>
        <w:t>el suscriptor mencionado en el certificado;</w:t>
      </w:r>
    </w:p>
    <w:p w14:paraId="348B6CB0" w14:textId="77777777" w:rsidR="00327339" w:rsidRPr="00313E25" w:rsidRDefault="00327339" w:rsidP="00327339">
      <w:pPr>
        <w:pStyle w:val="Inciso"/>
        <w:numPr>
          <w:ilvl w:val="0"/>
          <w:numId w:val="25"/>
        </w:numPr>
        <w:ind w:left="1985"/>
        <w:rPr>
          <w:szCs w:val="20"/>
        </w:rPr>
      </w:pPr>
      <w:r w:rsidRPr="00313E25">
        <w:rPr>
          <w:szCs w:val="20"/>
        </w:rPr>
        <w:t>el CENACE en coordinación con el Transportista, Distribuidor, Central Eléctrica o Centro de Carga, que utilice el certificado</w:t>
      </w:r>
      <w:r>
        <w:rPr>
          <w:szCs w:val="20"/>
        </w:rPr>
        <w:t>;</w:t>
      </w:r>
    </w:p>
    <w:p w14:paraId="63D55C99" w14:textId="77777777" w:rsidR="00327339" w:rsidRDefault="00327339" w:rsidP="00327339">
      <w:pPr>
        <w:pStyle w:val="Inciso"/>
        <w:numPr>
          <w:ilvl w:val="0"/>
          <w:numId w:val="25"/>
        </w:numPr>
        <w:ind w:left="1985"/>
        <w:rPr>
          <w:szCs w:val="20"/>
        </w:rPr>
      </w:pPr>
      <w:r w:rsidRPr="00313E25">
        <w:rPr>
          <w:szCs w:val="20"/>
        </w:rPr>
        <w:t xml:space="preserve">cuando aplique, el Distribuidor o Transportista en coordinación con </w:t>
      </w:r>
      <w:r>
        <w:rPr>
          <w:szCs w:val="20"/>
        </w:rPr>
        <w:t xml:space="preserve">el CENACE, </w:t>
      </w:r>
      <w:r w:rsidRPr="00313E25">
        <w:rPr>
          <w:szCs w:val="20"/>
        </w:rPr>
        <w:t>la Central Eléctrica o Centro de Carga</w:t>
      </w:r>
      <w:r>
        <w:rPr>
          <w:szCs w:val="20"/>
        </w:rPr>
        <w:t xml:space="preserve"> que utilice el certificado, o </w:t>
      </w:r>
    </w:p>
    <w:p w14:paraId="0B4E506C" w14:textId="77777777" w:rsidR="00327339" w:rsidRPr="00313E25" w:rsidRDefault="00327339" w:rsidP="00327339">
      <w:pPr>
        <w:pStyle w:val="Inciso"/>
        <w:numPr>
          <w:ilvl w:val="0"/>
          <w:numId w:val="25"/>
        </w:numPr>
        <w:ind w:left="1985"/>
        <w:rPr>
          <w:szCs w:val="20"/>
        </w:rPr>
      </w:pPr>
      <w:r w:rsidRPr="00313E25">
        <w:rPr>
          <w:szCs w:val="20"/>
        </w:rPr>
        <w:t>la Central Eléctrica o Centro de Carga</w:t>
      </w:r>
      <w:r>
        <w:rPr>
          <w:szCs w:val="20"/>
        </w:rPr>
        <w:t xml:space="preserve"> en coordinación con la contraparte que utilice el certificado.</w:t>
      </w:r>
    </w:p>
    <w:p w14:paraId="566FF5DB" w14:textId="77777777" w:rsidR="00327339" w:rsidRPr="00313E25" w:rsidRDefault="00327339" w:rsidP="00327339">
      <w:pPr>
        <w:pStyle w:val="Numeral"/>
        <w:numPr>
          <w:ilvl w:val="2"/>
          <w:numId w:val="1"/>
        </w:numPr>
        <w:rPr>
          <w:szCs w:val="20"/>
        </w:rPr>
      </w:pPr>
      <w:r w:rsidRPr="00313E25">
        <w:rPr>
          <w:szCs w:val="20"/>
        </w:rPr>
        <w:t>Cifrado</w:t>
      </w:r>
    </w:p>
    <w:p w14:paraId="2037BC5C" w14:textId="77777777" w:rsidR="00327339" w:rsidRPr="00313E25" w:rsidRDefault="00327339" w:rsidP="00327339">
      <w:pPr>
        <w:pStyle w:val="Numeral"/>
        <w:ind w:left="851"/>
        <w:rPr>
          <w:szCs w:val="20"/>
        </w:rPr>
      </w:pPr>
      <w:r w:rsidRPr="00313E25">
        <w:rPr>
          <w:szCs w:val="20"/>
        </w:rPr>
        <w:t>En los equipos que utilicen el CENACE, Transportista, Distribuidor, Central Eléctrica y Centro de Carga para tener acceso a su contraparte en un Punto de Conectividad, y que soporten cifrado, éste debe habilitarse con mecanismos estándares de cifrado de datos con un grado no menor a 256 bits.</w:t>
      </w:r>
    </w:p>
    <w:p w14:paraId="1541DB2F" w14:textId="77777777" w:rsidR="00327339" w:rsidRPr="00313E25" w:rsidRDefault="00327339" w:rsidP="00327339">
      <w:pPr>
        <w:pStyle w:val="Numeral"/>
        <w:numPr>
          <w:ilvl w:val="2"/>
          <w:numId w:val="1"/>
        </w:numPr>
        <w:rPr>
          <w:szCs w:val="20"/>
        </w:rPr>
      </w:pPr>
      <w:r w:rsidRPr="00313E25">
        <w:rPr>
          <w:szCs w:val="20"/>
        </w:rPr>
        <w:t>Banners</w:t>
      </w:r>
    </w:p>
    <w:p w14:paraId="1A8251AC" w14:textId="77777777" w:rsidR="00327339" w:rsidRPr="00313E25" w:rsidRDefault="00327339" w:rsidP="00327339">
      <w:pPr>
        <w:pStyle w:val="Subinciso"/>
        <w:tabs>
          <w:tab w:val="clear" w:pos="567"/>
        </w:tabs>
        <w:ind w:left="851"/>
        <w:rPr>
          <w:szCs w:val="20"/>
        </w:rPr>
      </w:pPr>
      <w:r w:rsidRPr="00313E25">
        <w:rPr>
          <w:szCs w:val="20"/>
        </w:rPr>
        <w:t xml:space="preserve">Todos los dispositivos (p. ej. </w:t>
      </w:r>
      <w:proofErr w:type="spellStart"/>
      <w:r w:rsidRPr="00313E25">
        <w:rPr>
          <w:szCs w:val="20"/>
        </w:rPr>
        <w:t>routers</w:t>
      </w:r>
      <w:proofErr w:type="spellEnd"/>
      <w:r w:rsidRPr="00313E25">
        <w:rPr>
          <w:szCs w:val="20"/>
        </w:rPr>
        <w:t>, equipos firewall, etc.) conectados entre el CENACE y el Transportista, Distribuidor, Central Eléctrica o Centro de Carga, incluidos los dispositivos del CENACE, deben tener configurado el siguiente banner o uno equivalente:</w:t>
      </w:r>
    </w:p>
    <w:p w14:paraId="148404C9" w14:textId="77777777" w:rsidR="00327339" w:rsidRPr="00313E25" w:rsidRDefault="00327339" w:rsidP="00327339">
      <w:pPr>
        <w:pStyle w:val="Subinciso"/>
        <w:tabs>
          <w:tab w:val="clear" w:pos="567"/>
          <w:tab w:val="left" w:pos="851"/>
        </w:tabs>
        <w:ind w:left="851"/>
        <w:jc w:val="center"/>
        <w:rPr>
          <w:i/>
          <w:szCs w:val="20"/>
        </w:rPr>
      </w:pPr>
      <w:r w:rsidRPr="00313E25">
        <w:rPr>
          <w:i/>
          <w:szCs w:val="20"/>
        </w:rPr>
        <w:t>*** SÓLO USUARIOS AUTORIZADOS ***</w:t>
      </w:r>
    </w:p>
    <w:p w14:paraId="27B84992" w14:textId="77777777" w:rsidR="00327339" w:rsidRPr="00313E25" w:rsidRDefault="00327339" w:rsidP="00327339">
      <w:pPr>
        <w:pStyle w:val="Subinciso"/>
        <w:tabs>
          <w:tab w:val="clear" w:pos="567"/>
          <w:tab w:val="left" w:pos="851"/>
        </w:tabs>
        <w:ind w:left="851"/>
        <w:rPr>
          <w:i/>
          <w:szCs w:val="20"/>
        </w:rPr>
      </w:pPr>
      <w:r w:rsidRPr="00313E25">
        <w:rPr>
          <w:i/>
          <w:szCs w:val="20"/>
        </w:rPr>
        <w:lastRenderedPageBreak/>
        <w:t>Éste es un sistema de cómputo privado, sólo para uso autorizado. Todo el tráfico es monitoreado sin excepción (usuarios autorizados o no autorizados).</w:t>
      </w:r>
    </w:p>
    <w:p w14:paraId="63EB2281" w14:textId="77777777" w:rsidR="00327339" w:rsidRPr="00313E25" w:rsidRDefault="00327339" w:rsidP="00327339">
      <w:pPr>
        <w:pStyle w:val="Subinciso"/>
        <w:tabs>
          <w:tab w:val="clear" w:pos="567"/>
          <w:tab w:val="left" w:pos="851"/>
        </w:tabs>
        <w:ind w:left="851"/>
        <w:rPr>
          <w:i/>
          <w:szCs w:val="20"/>
        </w:rPr>
      </w:pPr>
      <w:r w:rsidRPr="00313E25">
        <w:rPr>
          <w:i/>
          <w:szCs w:val="20"/>
        </w:rPr>
        <w:t>Todos los usos de este sistema o toda la información pueden ser interceptados, monitoreados, grabados, copiados, inspeccionados y divulgados únicamente por personas autorizadas. Al usar este sistema el usuario acepta todas las condiciones antes mencionadas.</w:t>
      </w:r>
    </w:p>
    <w:p w14:paraId="4E979F1B" w14:textId="77777777" w:rsidR="00327339" w:rsidRPr="00313E25" w:rsidRDefault="00327339" w:rsidP="00327339">
      <w:pPr>
        <w:pStyle w:val="Subinciso"/>
        <w:tabs>
          <w:tab w:val="clear" w:pos="567"/>
          <w:tab w:val="left" w:pos="851"/>
        </w:tabs>
        <w:ind w:left="851"/>
        <w:rPr>
          <w:i/>
          <w:szCs w:val="20"/>
        </w:rPr>
      </w:pPr>
      <w:r w:rsidRPr="00313E25">
        <w:rPr>
          <w:i/>
          <w:szCs w:val="20"/>
        </w:rPr>
        <w:t>CIERRE LA SESIÓN INMEDIATAMENTE si no está de acuerdo con las condiciones antes mencionadas.</w:t>
      </w:r>
    </w:p>
    <w:p w14:paraId="29BFAC65" w14:textId="77777777" w:rsidR="00327339" w:rsidRPr="00313E25" w:rsidRDefault="00327339" w:rsidP="00327339">
      <w:pPr>
        <w:pStyle w:val="Subinciso"/>
        <w:tabs>
          <w:tab w:val="clear" w:pos="567"/>
          <w:tab w:val="left" w:pos="851"/>
        </w:tabs>
        <w:ind w:left="851"/>
        <w:jc w:val="center"/>
        <w:rPr>
          <w:i/>
          <w:szCs w:val="20"/>
        </w:rPr>
      </w:pPr>
      <w:r w:rsidRPr="00313E25">
        <w:rPr>
          <w:i/>
          <w:szCs w:val="20"/>
        </w:rPr>
        <w:t>*** SÓLO USUARIOS AUTORIZADOS ***</w:t>
      </w:r>
    </w:p>
    <w:p w14:paraId="39457383" w14:textId="77777777" w:rsidR="00327339" w:rsidRPr="00313E25" w:rsidRDefault="00327339" w:rsidP="00327339">
      <w:pPr>
        <w:pStyle w:val="Numeral"/>
        <w:numPr>
          <w:ilvl w:val="2"/>
          <w:numId w:val="1"/>
        </w:numPr>
        <w:rPr>
          <w:szCs w:val="20"/>
        </w:rPr>
      </w:pPr>
      <w:r w:rsidRPr="00313E25">
        <w:rPr>
          <w:szCs w:val="20"/>
        </w:rPr>
        <w:t>Seguridad física</w:t>
      </w:r>
    </w:p>
    <w:p w14:paraId="386D33BE" w14:textId="77777777" w:rsidR="00327339" w:rsidRPr="00313E25" w:rsidRDefault="00327339" w:rsidP="00F9082A">
      <w:pPr>
        <w:pStyle w:val="Numeral"/>
        <w:numPr>
          <w:ilvl w:val="2"/>
          <w:numId w:val="27"/>
        </w:numPr>
        <w:ind w:left="1418" w:hanging="567"/>
        <w:rPr>
          <w:szCs w:val="20"/>
        </w:rPr>
      </w:pPr>
      <w:r w:rsidRPr="00313E25">
        <w:rPr>
          <w:szCs w:val="20"/>
        </w:rPr>
        <w:t>El equipo de cómputo, comunicaciones y seguridad del CENACE, Transportista, Distribuidor, Central Eléctrica o Centro de Carga, que esté asociado con algún enlace para el intercambio de información, debe estar físicamente protegido contra accesos no autorizados</w:t>
      </w:r>
      <w:r>
        <w:rPr>
          <w:szCs w:val="20"/>
        </w:rPr>
        <w:t>.</w:t>
      </w:r>
    </w:p>
    <w:p w14:paraId="5066E0FB" w14:textId="07BAC433" w:rsidR="00327339" w:rsidRPr="00313E25" w:rsidRDefault="00327339" w:rsidP="00F9082A">
      <w:pPr>
        <w:pStyle w:val="Numeral"/>
        <w:numPr>
          <w:ilvl w:val="2"/>
          <w:numId w:val="27"/>
        </w:numPr>
        <w:ind w:left="1418" w:hanging="567"/>
        <w:rPr>
          <w:szCs w:val="20"/>
        </w:rPr>
      </w:pPr>
      <w:r>
        <w:rPr>
          <w:szCs w:val="20"/>
        </w:rPr>
        <w:t>La Infraestructura de TIC</w:t>
      </w:r>
      <w:r w:rsidRPr="00313E25">
        <w:rPr>
          <w:szCs w:val="20"/>
        </w:rPr>
        <w:t xml:space="preserve"> debe contar con las condiciones ambientales indicadas por el fabricante. </w:t>
      </w:r>
    </w:p>
    <w:p w14:paraId="15D1D8AD" w14:textId="77777777" w:rsidR="00327339" w:rsidRPr="00313E25" w:rsidRDefault="00327339" w:rsidP="00F9082A">
      <w:pPr>
        <w:pStyle w:val="Numeral"/>
        <w:numPr>
          <w:ilvl w:val="2"/>
          <w:numId w:val="27"/>
        </w:numPr>
        <w:ind w:left="1418" w:hanging="567"/>
        <w:rPr>
          <w:szCs w:val="20"/>
        </w:rPr>
      </w:pPr>
      <w:r w:rsidRPr="00313E25">
        <w:rPr>
          <w:szCs w:val="20"/>
        </w:rPr>
        <w:t xml:space="preserve">El equipo debe tener suministro de energía </w:t>
      </w:r>
      <w:proofErr w:type="spellStart"/>
      <w:r w:rsidRPr="00313E25">
        <w:rPr>
          <w:szCs w:val="20"/>
        </w:rPr>
        <w:t>ininterrumpible</w:t>
      </w:r>
      <w:proofErr w:type="spellEnd"/>
      <w:r w:rsidRPr="00313E25">
        <w:rPr>
          <w:szCs w:val="20"/>
        </w:rPr>
        <w:t>.</w:t>
      </w:r>
    </w:p>
    <w:p w14:paraId="2E721002" w14:textId="77777777" w:rsidR="00327339" w:rsidRPr="00313E25" w:rsidRDefault="00327339" w:rsidP="00327339">
      <w:pPr>
        <w:pStyle w:val="Numeral"/>
        <w:spacing w:before="0" w:after="0"/>
        <w:ind w:left="851"/>
        <w:rPr>
          <w:szCs w:val="20"/>
        </w:rPr>
      </w:pPr>
    </w:p>
    <w:p w14:paraId="68DCE82D" w14:textId="77777777" w:rsidR="00327339" w:rsidRPr="00873FD0" w:rsidRDefault="00327339" w:rsidP="00F9082A">
      <w:pPr>
        <w:pStyle w:val="Numeral"/>
        <w:numPr>
          <w:ilvl w:val="1"/>
          <w:numId w:val="1"/>
        </w:numPr>
        <w:rPr>
          <w:b/>
          <w:sz w:val="24"/>
          <w:szCs w:val="20"/>
        </w:rPr>
      </w:pPr>
      <w:bookmarkStart w:id="4" w:name="_Toc476147859"/>
      <w:r w:rsidRPr="00873FD0">
        <w:rPr>
          <w:b/>
          <w:sz w:val="24"/>
          <w:szCs w:val="20"/>
        </w:rPr>
        <w:t>Requisitos de Ciberseguridad específicos para el Control Operativo del SEN y la Operación del MEM</w:t>
      </w:r>
      <w:bookmarkEnd w:id="4"/>
      <w:r w:rsidRPr="00873FD0">
        <w:rPr>
          <w:b/>
          <w:sz w:val="24"/>
          <w:szCs w:val="20"/>
        </w:rPr>
        <w:t>, incluida la medición para liquidaciones</w:t>
      </w:r>
    </w:p>
    <w:p w14:paraId="7DC4032D" w14:textId="77777777" w:rsidR="00327339" w:rsidRPr="000B2B39" w:rsidRDefault="00327339" w:rsidP="00F9082A">
      <w:pPr>
        <w:pStyle w:val="Numeral"/>
        <w:numPr>
          <w:ilvl w:val="2"/>
          <w:numId w:val="1"/>
        </w:numPr>
      </w:pPr>
      <w:r w:rsidRPr="000B2B39">
        <w:t xml:space="preserve">Para incrementar la confiabilidad y reducir el riesgo asociado al tráfico de voz y datos, el CENACE, el Transportista, el Distribuidor, la Central Eléctrica y el Centro de Carga deben instalar en los Puntos de Conectividad, cada parte en sus instalaciones, dispositivos de seguridad para el control de tráfico. </w:t>
      </w:r>
    </w:p>
    <w:p w14:paraId="63BAC6B6" w14:textId="77777777" w:rsidR="00327339" w:rsidRDefault="00327339" w:rsidP="00F9082A">
      <w:pPr>
        <w:pStyle w:val="Numeral"/>
        <w:numPr>
          <w:ilvl w:val="2"/>
          <w:numId w:val="1"/>
        </w:numPr>
        <w:rPr>
          <w:szCs w:val="20"/>
        </w:rPr>
      </w:pPr>
      <w:r w:rsidRPr="00313E25">
        <w:rPr>
          <w:szCs w:val="20"/>
        </w:rPr>
        <w:t>Los dispositivos de</w:t>
      </w:r>
      <w:r>
        <w:rPr>
          <w:szCs w:val="20"/>
        </w:rPr>
        <w:t xml:space="preserve"> seguridad para el</w:t>
      </w:r>
      <w:r w:rsidRPr="00313E25">
        <w:rPr>
          <w:szCs w:val="20"/>
        </w:rPr>
        <w:t xml:space="preserve"> control de tráfico referidos en el numeral anterior deben:</w:t>
      </w:r>
    </w:p>
    <w:p w14:paraId="0F662D94" w14:textId="77777777" w:rsidR="00327339" w:rsidRDefault="00327339" w:rsidP="00F9082A">
      <w:pPr>
        <w:pStyle w:val="Numeral"/>
        <w:numPr>
          <w:ilvl w:val="2"/>
          <w:numId w:val="28"/>
        </w:numPr>
        <w:rPr>
          <w:szCs w:val="20"/>
        </w:rPr>
      </w:pPr>
      <w:r w:rsidRPr="00F9082A">
        <w:t>soportar puerto de aplicación (TCP/UDP);</w:t>
      </w:r>
    </w:p>
    <w:p w14:paraId="5DEF4B19" w14:textId="77777777" w:rsidR="00327339" w:rsidRDefault="00327339" w:rsidP="00F9082A">
      <w:pPr>
        <w:pStyle w:val="Numeral"/>
        <w:numPr>
          <w:ilvl w:val="2"/>
          <w:numId w:val="28"/>
        </w:numPr>
        <w:rPr>
          <w:szCs w:val="20"/>
        </w:rPr>
      </w:pPr>
      <w:r w:rsidRPr="00F9082A">
        <w:t>soportar control por direcciones IP;</w:t>
      </w:r>
      <w:r w:rsidRPr="00313E25">
        <w:rPr>
          <w:szCs w:val="20"/>
        </w:rPr>
        <w:t xml:space="preserve"> </w:t>
      </w:r>
    </w:p>
    <w:p w14:paraId="4020F119" w14:textId="77777777" w:rsidR="00327339" w:rsidRDefault="00327339" w:rsidP="00F9082A">
      <w:pPr>
        <w:pStyle w:val="Numeral"/>
        <w:numPr>
          <w:ilvl w:val="2"/>
          <w:numId w:val="28"/>
        </w:numPr>
        <w:rPr>
          <w:szCs w:val="20"/>
        </w:rPr>
      </w:pPr>
      <w:r w:rsidRPr="00F9082A">
        <w:t xml:space="preserve">tener la capacidad de realizar NAT (Network </w:t>
      </w:r>
      <w:proofErr w:type="spellStart"/>
      <w:r w:rsidRPr="00F9082A">
        <w:t>Address</w:t>
      </w:r>
      <w:proofErr w:type="spellEnd"/>
      <w:r w:rsidRPr="00F9082A">
        <w:t xml:space="preserve"> </w:t>
      </w:r>
      <w:proofErr w:type="spellStart"/>
      <w:r w:rsidRPr="00F9082A">
        <w:t>Translation</w:t>
      </w:r>
      <w:proofErr w:type="spellEnd"/>
      <w:r w:rsidRPr="00F9082A">
        <w:t>) y cifrado de tráfico;</w:t>
      </w:r>
    </w:p>
    <w:p w14:paraId="4ACE1EF4" w14:textId="77777777" w:rsidR="00327339" w:rsidRPr="00F9082A" w:rsidRDefault="00327339" w:rsidP="00F9082A">
      <w:pPr>
        <w:pStyle w:val="Numeral"/>
        <w:numPr>
          <w:ilvl w:val="2"/>
          <w:numId w:val="28"/>
        </w:numPr>
      </w:pPr>
      <w:r w:rsidRPr="00313E25">
        <w:rPr>
          <w:szCs w:val="20"/>
        </w:rPr>
        <w:t xml:space="preserve">soportar tráfico </w:t>
      </w:r>
      <w:proofErr w:type="spellStart"/>
      <w:r w:rsidRPr="00313E25">
        <w:rPr>
          <w:szCs w:val="20"/>
        </w:rPr>
        <w:t>VoIP</w:t>
      </w:r>
      <w:proofErr w:type="spellEnd"/>
      <w:r w:rsidRPr="00313E25">
        <w:rPr>
          <w:szCs w:val="20"/>
        </w:rPr>
        <w:t xml:space="preserve"> en el puerto de operación SIP </w:t>
      </w:r>
      <w:r w:rsidRPr="00F9082A">
        <w:t>(</w:t>
      </w:r>
      <w:proofErr w:type="spellStart"/>
      <w:r w:rsidRPr="00F9082A">
        <w:t>Session</w:t>
      </w:r>
      <w:proofErr w:type="spellEnd"/>
      <w:r w:rsidRPr="00F9082A">
        <w:t xml:space="preserve"> </w:t>
      </w:r>
      <w:proofErr w:type="spellStart"/>
      <w:r w:rsidRPr="00F9082A">
        <w:t>Initiation</w:t>
      </w:r>
      <w:proofErr w:type="spellEnd"/>
      <w:r w:rsidRPr="00F9082A">
        <w:t xml:space="preserve"> </w:t>
      </w:r>
      <w:proofErr w:type="spellStart"/>
      <w:r w:rsidRPr="00F9082A">
        <w:t>Protocol</w:t>
      </w:r>
      <w:proofErr w:type="spellEnd"/>
      <w:r w:rsidRPr="00F9082A">
        <w:t>), y</w:t>
      </w:r>
    </w:p>
    <w:p w14:paraId="60864C6F" w14:textId="77777777" w:rsidR="00327339" w:rsidRPr="00F9082A" w:rsidRDefault="00327339" w:rsidP="00F9082A">
      <w:pPr>
        <w:pStyle w:val="Numeral"/>
        <w:numPr>
          <w:ilvl w:val="2"/>
          <w:numId w:val="28"/>
        </w:numPr>
      </w:pPr>
      <w:r w:rsidRPr="00F9082A">
        <w:t xml:space="preserve">soportar tráfico de monitoreo en el puerto de operación SNMP (Single Network Management </w:t>
      </w:r>
      <w:proofErr w:type="spellStart"/>
      <w:r w:rsidRPr="00F9082A">
        <w:t>Protocol</w:t>
      </w:r>
      <w:proofErr w:type="spellEnd"/>
      <w:r w:rsidRPr="00F9082A">
        <w:t>).</w:t>
      </w:r>
    </w:p>
    <w:p w14:paraId="1B2F1757" w14:textId="274BCEDD" w:rsidR="00327339" w:rsidRPr="00F9082A" w:rsidRDefault="00327339" w:rsidP="00F9082A">
      <w:pPr>
        <w:pStyle w:val="Numeral"/>
        <w:numPr>
          <w:ilvl w:val="2"/>
          <w:numId w:val="1"/>
        </w:numPr>
        <w:rPr>
          <w:szCs w:val="20"/>
        </w:rPr>
      </w:pPr>
      <w:r w:rsidRPr="00F9082A">
        <w:rPr>
          <w:szCs w:val="20"/>
        </w:rPr>
        <w:t xml:space="preserve">Además de lo señalado en los numerales </w:t>
      </w:r>
      <w:r w:rsidR="00873FD0">
        <w:rPr>
          <w:szCs w:val="20"/>
        </w:rPr>
        <w:t>1.</w:t>
      </w:r>
      <w:r w:rsidRPr="00F9082A">
        <w:rPr>
          <w:szCs w:val="20"/>
        </w:rPr>
        <w:t xml:space="preserve">3.1 y </w:t>
      </w:r>
      <w:r w:rsidR="00873FD0">
        <w:rPr>
          <w:szCs w:val="20"/>
        </w:rPr>
        <w:t>1.</w:t>
      </w:r>
      <w:r w:rsidRPr="00F9082A">
        <w:rPr>
          <w:szCs w:val="20"/>
        </w:rPr>
        <w:t xml:space="preserve">3.2, el Transportista, el Distribuidor, la Central Eléctrica y el Centro de Carga deben asegurarse de que una vez implementado los dispositivos de seguridad para el control de tráfico no se afecte el intercambio de información. </w:t>
      </w:r>
    </w:p>
    <w:p w14:paraId="789F3659" w14:textId="77777777" w:rsidR="00327339" w:rsidRPr="000B2B39" w:rsidRDefault="00327339" w:rsidP="00F9082A">
      <w:pPr>
        <w:pStyle w:val="Numeral"/>
        <w:numPr>
          <w:ilvl w:val="2"/>
          <w:numId w:val="1"/>
        </w:numPr>
      </w:pPr>
      <w:r w:rsidRPr="00F9082A">
        <w:rPr>
          <w:szCs w:val="20"/>
        </w:rPr>
        <w:t>La Central Eléctrica y el Centro de Carga deben realizar las acciones necesarias para que el equipo</w:t>
      </w:r>
      <w:r w:rsidRPr="000B2B39">
        <w:t xml:space="preserve"> donde se aloje la aplicación RID:</w:t>
      </w:r>
    </w:p>
    <w:p w14:paraId="0EF4FB0E" w14:textId="77777777" w:rsidR="00327339" w:rsidRPr="00F9082A" w:rsidRDefault="00327339" w:rsidP="00F9082A">
      <w:pPr>
        <w:pStyle w:val="Numeral"/>
        <w:numPr>
          <w:ilvl w:val="2"/>
          <w:numId w:val="29"/>
        </w:numPr>
      </w:pPr>
      <w:r w:rsidRPr="00F9082A">
        <w:t xml:space="preserve">Sea de uso exclusivo para dicho sistema </w:t>
      </w:r>
    </w:p>
    <w:p w14:paraId="67501230" w14:textId="77777777" w:rsidR="00327339" w:rsidRPr="00F9082A" w:rsidRDefault="00327339" w:rsidP="00F9082A">
      <w:pPr>
        <w:pStyle w:val="Numeral"/>
        <w:numPr>
          <w:ilvl w:val="2"/>
          <w:numId w:val="29"/>
        </w:numPr>
      </w:pPr>
      <w:r w:rsidRPr="00F9082A">
        <w:lastRenderedPageBreak/>
        <w:t>Cuente con endurecimiento de acuerdo a lo señalado en el numeral 2.13 de este anexo.</w:t>
      </w:r>
    </w:p>
    <w:p w14:paraId="05D6ADEF" w14:textId="77777777" w:rsidR="00327339" w:rsidRPr="00F9082A" w:rsidRDefault="00327339" w:rsidP="00F9082A">
      <w:pPr>
        <w:pStyle w:val="Numeral"/>
        <w:numPr>
          <w:ilvl w:val="2"/>
          <w:numId w:val="29"/>
        </w:numPr>
      </w:pPr>
      <w:r w:rsidRPr="00F9082A">
        <w:t>Cuente con autenticación de acuerdo a lo señalado en el numeral 2.15 de este anexo</w:t>
      </w:r>
    </w:p>
    <w:p w14:paraId="17DB4BEB" w14:textId="77777777" w:rsidR="00327339" w:rsidRPr="00F9082A" w:rsidRDefault="00327339" w:rsidP="00F9082A">
      <w:pPr>
        <w:pStyle w:val="Numeral"/>
        <w:numPr>
          <w:ilvl w:val="2"/>
          <w:numId w:val="29"/>
        </w:numPr>
      </w:pPr>
      <w:r w:rsidRPr="00F9082A">
        <w:t>Cuente con sistema antivirus de acuerdo a lo señalado en el numeral 2.16 de este anexo.</w:t>
      </w:r>
    </w:p>
    <w:p w14:paraId="52FC42A6" w14:textId="77777777" w:rsidR="00327339" w:rsidRPr="00F9082A" w:rsidRDefault="00327339" w:rsidP="00F9082A">
      <w:pPr>
        <w:pStyle w:val="Numeral"/>
        <w:numPr>
          <w:ilvl w:val="2"/>
          <w:numId w:val="29"/>
        </w:numPr>
      </w:pPr>
      <w:r w:rsidRPr="00F9082A">
        <w:t xml:space="preserve">Esté aislado de internet. </w:t>
      </w:r>
    </w:p>
    <w:p w14:paraId="436F8FCC" w14:textId="3295B0B3" w:rsidR="00327339" w:rsidRPr="00327339" w:rsidRDefault="00327339" w:rsidP="00873FD0">
      <w:pPr>
        <w:pStyle w:val="Numeral"/>
        <w:numPr>
          <w:ilvl w:val="2"/>
          <w:numId w:val="1"/>
        </w:numPr>
      </w:pPr>
      <w:r w:rsidRPr="000B2B39">
        <w:t xml:space="preserve">Las instalaciones cuyo sistema RID se deba conectar al CENACE mediante VPN, conforme a lo señalado en las tablas </w:t>
      </w:r>
      <w:r>
        <w:t>contenidas en los numerales 6.1.4 y 7.1.4 del Manual</w:t>
      </w:r>
      <w:r w:rsidRPr="000B2B39">
        <w:t>, deben cumplir con los parámetros de conectividad que señale el CENACE.</w:t>
      </w:r>
    </w:p>
    <w:sectPr w:rsidR="00327339" w:rsidRPr="0032733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6CC6E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3ECED" w14:textId="77777777" w:rsidR="0067556D" w:rsidRDefault="0067556D" w:rsidP="00F84254">
      <w:pPr>
        <w:spacing w:after="0" w:line="240" w:lineRule="auto"/>
      </w:pPr>
      <w:r>
        <w:separator/>
      </w:r>
    </w:p>
  </w:endnote>
  <w:endnote w:type="continuationSeparator" w:id="0">
    <w:p w14:paraId="2ED8FCD8" w14:textId="77777777" w:rsidR="0067556D" w:rsidRDefault="0067556D" w:rsidP="00F84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866823"/>
      <w:docPartObj>
        <w:docPartGallery w:val="Page Numbers (Bottom of Page)"/>
        <w:docPartUnique/>
      </w:docPartObj>
    </w:sdtPr>
    <w:sdtEndPr/>
    <w:sdtContent>
      <w:p w14:paraId="6264A1E2" w14:textId="77777777" w:rsidR="00751CEB" w:rsidRDefault="004624A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FD0" w:rsidRPr="00873FD0">
          <w:rPr>
            <w:noProof/>
            <w:lang w:val="es-ES"/>
          </w:rPr>
          <w:t>1</w:t>
        </w:r>
        <w:r>
          <w:fldChar w:fldCharType="end"/>
        </w:r>
      </w:p>
    </w:sdtContent>
  </w:sdt>
  <w:p w14:paraId="49A34A25" w14:textId="77777777" w:rsidR="00751CEB" w:rsidRDefault="0067556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2AE37" w14:textId="77777777" w:rsidR="0067556D" w:rsidRDefault="0067556D" w:rsidP="00F84254">
      <w:pPr>
        <w:spacing w:after="0" w:line="240" w:lineRule="auto"/>
      </w:pPr>
      <w:r>
        <w:separator/>
      </w:r>
    </w:p>
  </w:footnote>
  <w:footnote w:type="continuationSeparator" w:id="0">
    <w:p w14:paraId="0B96ECCF" w14:textId="77777777" w:rsidR="0067556D" w:rsidRDefault="0067556D" w:rsidP="00F84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128833" w14:textId="1BA058E7" w:rsidR="008B6340" w:rsidRPr="00DE46CC" w:rsidRDefault="004624A3" w:rsidP="008B6340">
    <w:pPr>
      <w:pStyle w:val="Heather"/>
      <w:pBdr>
        <w:bottom w:val="single" w:sz="4" w:space="0" w:color="595959" w:themeColor="text1" w:themeTint="A6"/>
      </w:pBdr>
    </w:pPr>
    <w:r>
      <w:t xml:space="preserve">ANEXO </w:t>
    </w:r>
    <w:r w:rsidR="00B73923">
      <w:t>4</w:t>
    </w:r>
    <w:r>
      <w:t xml:space="preserve"> </w:t>
    </w:r>
    <w:r w:rsidR="00B73923">
      <w:t>Requisitos de Ciberseguridad pata la Infraestructura de TIC</w:t>
    </w:r>
    <w:r>
      <w:t xml:space="preserve"> </w:t>
    </w:r>
    <w:r>
      <w:br/>
    </w:r>
    <w:r w:rsidR="007E4103">
      <w:t>Anteproyecto</w:t>
    </w:r>
    <w:r>
      <w:t xml:space="preserve"> </w:t>
    </w:r>
    <w:r w:rsidR="007E4103">
      <w:t xml:space="preserve">del </w:t>
    </w:r>
    <w:r w:rsidR="00000345">
      <w:t>06</w:t>
    </w:r>
    <w:r>
      <w:t xml:space="preserve"> </w:t>
    </w:r>
    <w:r w:rsidRPr="00DE46CC">
      <w:t>de</w:t>
    </w:r>
    <w:r w:rsidR="00000345">
      <w:t xml:space="preserve"> abril</w:t>
    </w:r>
    <w:r w:rsidR="0029312D">
      <w:t xml:space="preserve"> </w:t>
    </w:r>
    <w:r w:rsidRPr="00DE46CC">
      <w:t>de 201</w:t>
    </w:r>
    <w:r w:rsidR="0029312D">
      <w:t>7</w:t>
    </w:r>
  </w:p>
  <w:p w14:paraId="2DFFCE3E" w14:textId="77777777" w:rsidR="008B6340" w:rsidRPr="00DF122D" w:rsidRDefault="0067556D" w:rsidP="008B6340">
    <w:pPr>
      <w:pStyle w:val="Encabezado"/>
      <w:rPr>
        <w:color w:val="595959" w:themeColor="text1" w:themeTint="A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22B4"/>
    <w:multiLevelType w:val="multilevel"/>
    <w:tmpl w:val="00ECD4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CE0269E"/>
    <w:multiLevelType w:val="multilevel"/>
    <w:tmpl w:val="18F829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57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">
    <w:nsid w:val="18D55D51"/>
    <w:multiLevelType w:val="multilevel"/>
    <w:tmpl w:val="E21260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57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>
    <w:nsid w:val="347D64E3"/>
    <w:multiLevelType w:val="multilevel"/>
    <w:tmpl w:val="18F829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57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4">
    <w:nsid w:val="364A78E0"/>
    <w:multiLevelType w:val="multilevel"/>
    <w:tmpl w:val="08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39C62222"/>
    <w:multiLevelType w:val="hybridMultilevel"/>
    <w:tmpl w:val="31B2FF88"/>
    <w:lvl w:ilvl="0" w:tplc="5764FFC8">
      <w:start w:val="1"/>
      <w:numFmt w:val="lowerRoman"/>
      <w:lvlText w:val="(%1)"/>
      <w:lvlJc w:val="left"/>
      <w:pPr>
        <w:ind w:left="2827" w:hanging="360"/>
      </w:pPr>
      <w:rPr>
        <w:rFonts w:ascii="Arial" w:hAnsi="Arial" w:hint="default"/>
        <w:b/>
        <w:bCs/>
        <w:i w:val="0"/>
        <w:iCs w:val="0"/>
        <w:sz w:val="20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3547" w:hanging="360"/>
      </w:pPr>
    </w:lvl>
    <w:lvl w:ilvl="2" w:tplc="080A001B" w:tentative="1">
      <w:start w:val="1"/>
      <w:numFmt w:val="lowerRoman"/>
      <w:lvlText w:val="%3."/>
      <w:lvlJc w:val="right"/>
      <w:pPr>
        <w:ind w:left="4267" w:hanging="180"/>
      </w:pPr>
    </w:lvl>
    <w:lvl w:ilvl="3" w:tplc="080A000F" w:tentative="1">
      <w:start w:val="1"/>
      <w:numFmt w:val="decimal"/>
      <w:lvlText w:val="%4."/>
      <w:lvlJc w:val="left"/>
      <w:pPr>
        <w:ind w:left="4987" w:hanging="360"/>
      </w:pPr>
    </w:lvl>
    <w:lvl w:ilvl="4" w:tplc="080A0019" w:tentative="1">
      <w:start w:val="1"/>
      <w:numFmt w:val="lowerLetter"/>
      <w:lvlText w:val="%5."/>
      <w:lvlJc w:val="left"/>
      <w:pPr>
        <w:ind w:left="5707" w:hanging="360"/>
      </w:pPr>
    </w:lvl>
    <w:lvl w:ilvl="5" w:tplc="080A001B" w:tentative="1">
      <w:start w:val="1"/>
      <w:numFmt w:val="lowerRoman"/>
      <w:lvlText w:val="%6."/>
      <w:lvlJc w:val="right"/>
      <w:pPr>
        <w:ind w:left="6427" w:hanging="180"/>
      </w:pPr>
    </w:lvl>
    <w:lvl w:ilvl="6" w:tplc="080A000F" w:tentative="1">
      <w:start w:val="1"/>
      <w:numFmt w:val="decimal"/>
      <w:lvlText w:val="%7."/>
      <w:lvlJc w:val="left"/>
      <w:pPr>
        <w:ind w:left="7147" w:hanging="360"/>
      </w:pPr>
    </w:lvl>
    <w:lvl w:ilvl="7" w:tplc="080A0019" w:tentative="1">
      <w:start w:val="1"/>
      <w:numFmt w:val="lowerLetter"/>
      <w:lvlText w:val="%8."/>
      <w:lvlJc w:val="left"/>
      <w:pPr>
        <w:ind w:left="7867" w:hanging="360"/>
      </w:pPr>
    </w:lvl>
    <w:lvl w:ilvl="8" w:tplc="080A001B" w:tentative="1">
      <w:start w:val="1"/>
      <w:numFmt w:val="lowerRoman"/>
      <w:lvlText w:val="%9."/>
      <w:lvlJc w:val="right"/>
      <w:pPr>
        <w:ind w:left="8587" w:hanging="180"/>
      </w:pPr>
    </w:lvl>
  </w:abstractNum>
  <w:abstractNum w:abstractNumId="6">
    <w:nsid w:val="4B456140"/>
    <w:multiLevelType w:val="multilevel"/>
    <w:tmpl w:val="62A0FE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080" w:hanging="1080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C646E07"/>
    <w:multiLevelType w:val="multilevel"/>
    <w:tmpl w:val="B524D1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>
    <w:nsid w:val="503C613E"/>
    <w:multiLevelType w:val="multilevel"/>
    <w:tmpl w:val="695436BE"/>
    <w:lvl w:ilvl="0">
      <w:start w:val="1"/>
      <w:numFmt w:val="decimal"/>
      <w:suff w:val="nothing"/>
      <w:lvlText w:val="CAPÍTULO %1"/>
      <w:lvlJc w:val="left"/>
      <w:pPr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  <w:lang w:val="es-MX"/>
      </w:rPr>
    </w:lvl>
    <w:lvl w:ilvl="3">
      <w:start w:val="1"/>
      <w:numFmt w:val="lowerLetter"/>
      <w:lvlText w:val="(%4)"/>
      <w:lvlJc w:val="left"/>
      <w:pPr>
        <w:ind w:left="1418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4">
      <w:start w:val="1"/>
      <w:numFmt w:val="lowerRoman"/>
      <w:lvlText w:val="(%5)"/>
      <w:lvlJc w:val="left"/>
      <w:pPr>
        <w:ind w:left="1985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5">
      <w:start w:val="1"/>
      <w:numFmt w:val="upperLetter"/>
      <w:lvlRestart w:val="2"/>
      <w:lvlText w:val="(%6)"/>
      <w:lvlJc w:val="left"/>
      <w:pPr>
        <w:ind w:left="2836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upperRoman"/>
      <w:lvlText w:val="(%7)"/>
      <w:lvlJc w:val="left"/>
      <w:pPr>
        <w:ind w:left="3119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:em w:val="none"/>
      </w:rPr>
    </w:lvl>
    <w:lvl w:ilvl="7">
      <w:start w:val="1"/>
      <w:numFmt w:val="lowerLetter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abstractNum w:abstractNumId="9">
    <w:nsid w:val="55BD0DEB"/>
    <w:multiLevelType w:val="multilevel"/>
    <w:tmpl w:val="0EE84E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w w:val="100"/>
        <w:sz w:val="24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574D5B40"/>
    <w:multiLevelType w:val="hybridMultilevel"/>
    <w:tmpl w:val="F67E0AF8"/>
    <w:lvl w:ilvl="0" w:tplc="860A9666">
      <w:start w:val="1"/>
      <w:numFmt w:val="lowerLetter"/>
      <w:lvlText w:val="%1)"/>
      <w:lvlJc w:val="left"/>
      <w:pPr>
        <w:ind w:left="2827" w:hanging="360"/>
      </w:pPr>
      <w:rPr>
        <w:rFonts w:ascii="Arial" w:hAnsi="Arial" w:hint="default"/>
        <w:b w:val="0"/>
        <w:i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3547" w:hanging="360"/>
      </w:pPr>
    </w:lvl>
    <w:lvl w:ilvl="2" w:tplc="080A001B" w:tentative="1">
      <w:start w:val="1"/>
      <w:numFmt w:val="lowerRoman"/>
      <w:lvlText w:val="%3."/>
      <w:lvlJc w:val="right"/>
      <w:pPr>
        <w:ind w:left="4267" w:hanging="180"/>
      </w:pPr>
    </w:lvl>
    <w:lvl w:ilvl="3" w:tplc="080A000F" w:tentative="1">
      <w:start w:val="1"/>
      <w:numFmt w:val="decimal"/>
      <w:lvlText w:val="%4."/>
      <w:lvlJc w:val="left"/>
      <w:pPr>
        <w:ind w:left="4987" w:hanging="360"/>
      </w:pPr>
    </w:lvl>
    <w:lvl w:ilvl="4" w:tplc="080A0019" w:tentative="1">
      <w:start w:val="1"/>
      <w:numFmt w:val="lowerLetter"/>
      <w:lvlText w:val="%5."/>
      <w:lvlJc w:val="left"/>
      <w:pPr>
        <w:ind w:left="5707" w:hanging="360"/>
      </w:pPr>
    </w:lvl>
    <w:lvl w:ilvl="5" w:tplc="080A001B" w:tentative="1">
      <w:start w:val="1"/>
      <w:numFmt w:val="lowerRoman"/>
      <w:lvlText w:val="%6."/>
      <w:lvlJc w:val="right"/>
      <w:pPr>
        <w:ind w:left="6427" w:hanging="180"/>
      </w:pPr>
    </w:lvl>
    <w:lvl w:ilvl="6" w:tplc="080A000F" w:tentative="1">
      <w:start w:val="1"/>
      <w:numFmt w:val="decimal"/>
      <w:lvlText w:val="%7."/>
      <w:lvlJc w:val="left"/>
      <w:pPr>
        <w:ind w:left="7147" w:hanging="360"/>
      </w:pPr>
    </w:lvl>
    <w:lvl w:ilvl="7" w:tplc="080A0019" w:tentative="1">
      <w:start w:val="1"/>
      <w:numFmt w:val="lowerLetter"/>
      <w:lvlText w:val="%8."/>
      <w:lvlJc w:val="left"/>
      <w:pPr>
        <w:ind w:left="7867" w:hanging="360"/>
      </w:pPr>
    </w:lvl>
    <w:lvl w:ilvl="8" w:tplc="080A001B" w:tentative="1">
      <w:start w:val="1"/>
      <w:numFmt w:val="lowerRoman"/>
      <w:lvlText w:val="%9."/>
      <w:lvlJc w:val="right"/>
      <w:pPr>
        <w:ind w:left="8587" w:hanging="180"/>
      </w:pPr>
    </w:lvl>
  </w:abstractNum>
  <w:abstractNum w:abstractNumId="11">
    <w:nsid w:val="5F464766"/>
    <w:multiLevelType w:val="multilevel"/>
    <w:tmpl w:val="36C0CD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57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>
    <w:nsid w:val="629B1457"/>
    <w:multiLevelType w:val="hybridMultilevel"/>
    <w:tmpl w:val="F67E0AF8"/>
    <w:lvl w:ilvl="0" w:tplc="860A9666">
      <w:start w:val="1"/>
      <w:numFmt w:val="lowerLetter"/>
      <w:lvlText w:val="%1)"/>
      <w:lvlJc w:val="left"/>
      <w:pPr>
        <w:ind w:left="2563" w:hanging="360"/>
      </w:pPr>
      <w:rPr>
        <w:rFonts w:ascii="Arial" w:hAnsi="Arial" w:hint="default"/>
        <w:b w:val="0"/>
        <w:i w:val="0"/>
        <w:sz w:val="20"/>
      </w:rPr>
    </w:lvl>
    <w:lvl w:ilvl="1" w:tplc="080A0019" w:tentative="1">
      <w:start w:val="1"/>
      <w:numFmt w:val="lowerLetter"/>
      <w:lvlText w:val="%2."/>
      <w:lvlJc w:val="left"/>
      <w:pPr>
        <w:ind w:left="3283" w:hanging="360"/>
      </w:pPr>
    </w:lvl>
    <w:lvl w:ilvl="2" w:tplc="080A001B" w:tentative="1">
      <w:start w:val="1"/>
      <w:numFmt w:val="lowerRoman"/>
      <w:lvlText w:val="%3."/>
      <w:lvlJc w:val="right"/>
      <w:pPr>
        <w:ind w:left="4003" w:hanging="180"/>
      </w:pPr>
    </w:lvl>
    <w:lvl w:ilvl="3" w:tplc="080A000F" w:tentative="1">
      <w:start w:val="1"/>
      <w:numFmt w:val="decimal"/>
      <w:lvlText w:val="%4."/>
      <w:lvlJc w:val="left"/>
      <w:pPr>
        <w:ind w:left="4723" w:hanging="360"/>
      </w:pPr>
    </w:lvl>
    <w:lvl w:ilvl="4" w:tplc="080A0019" w:tentative="1">
      <w:start w:val="1"/>
      <w:numFmt w:val="lowerLetter"/>
      <w:lvlText w:val="%5."/>
      <w:lvlJc w:val="left"/>
      <w:pPr>
        <w:ind w:left="5443" w:hanging="360"/>
      </w:pPr>
    </w:lvl>
    <w:lvl w:ilvl="5" w:tplc="080A001B" w:tentative="1">
      <w:start w:val="1"/>
      <w:numFmt w:val="lowerRoman"/>
      <w:lvlText w:val="%6."/>
      <w:lvlJc w:val="right"/>
      <w:pPr>
        <w:ind w:left="6163" w:hanging="180"/>
      </w:pPr>
    </w:lvl>
    <w:lvl w:ilvl="6" w:tplc="080A000F" w:tentative="1">
      <w:start w:val="1"/>
      <w:numFmt w:val="decimal"/>
      <w:lvlText w:val="%7."/>
      <w:lvlJc w:val="left"/>
      <w:pPr>
        <w:ind w:left="6883" w:hanging="360"/>
      </w:pPr>
    </w:lvl>
    <w:lvl w:ilvl="7" w:tplc="080A0019" w:tentative="1">
      <w:start w:val="1"/>
      <w:numFmt w:val="lowerLetter"/>
      <w:lvlText w:val="%8."/>
      <w:lvlJc w:val="left"/>
      <w:pPr>
        <w:ind w:left="7603" w:hanging="360"/>
      </w:pPr>
    </w:lvl>
    <w:lvl w:ilvl="8" w:tplc="080A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3">
    <w:nsid w:val="69651781"/>
    <w:multiLevelType w:val="multilevel"/>
    <w:tmpl w:val="18F829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57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>
    <w:nsid w:val="6D0358CC"/>
    <w:multiLevelType w:val="multilevel"/>
    <w:tmpl w:val="18F829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57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>
    <w:nsid w:val="71341688"/>
    <w:multiLevelType w:val="multilevel"/>
    <w:tmpl w:val="18F829D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57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9"/>
  </w:num>
  <w:num w:numId="4">
    <w:abstractNumId w:val="7"/>
  </w:num>
  <w:num w:numId="5">
    <w:abstractNumId w:val="0"/>
  </w:num>
  <w:num w:numId="6">
    <w:abstractNumId w:val="4"/>
  </w:num>
  <w:num w:numId="7">
    <w:abstractNumId w:val="10"/>
  </w:num>
  <w:num w:numId="8">
    <w:abstractNumId w:val="12"/>
  </w:num>
  <w:num w:numId="9">
    <w:abstractNumId w:val="6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11"/>
  </w:num>
  <w:num w:numId="22">
    <w:abstractNumId w:val="8"/>
  </w:num>
  <w:num w:numId="23">
    <w:abstractNumId w:val="2"/>
  </w:num>
  <w:num w:numId="24">
    <w:abstractNumId w:val="13"/>
  </w:num>
  <w:num w:numId="25">
    <w:abstractNumId w:val="5"/>
  </w:num>
  <w:num w:numId="26">
    <w:abstractNumId w:val="14"/>
  </w:num>
  <w:num w:numId="27">
    <w:abstractNumId w:val="15"/>
  </w:num>
  <w:num w:numId="28">
    <w:abstractNumId w:val="1"/>
  </w:num>
  <w:num w:numId="29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berto Cota Grijalva">
    <w15:presenceInfo w15:providerId="None" w15:userId="Roberto Cota Grijalva"/>
  </w15:person>
  <w15:person w15:author="Rene Emmanuel Noriega Espinoza">
    <w15:presenceInfo w15:providerId="AD" w15:userId="S-1-5-21-1224139075-507196168-3613387102-25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3C3"/>
    <w:rsid w:val="00000345"/>
    <w:rsid w:val="001424FD"/>
    <w:rsid w:val="0029312D"/>
    <w:rsid w:val="002F65D6"/>
    <w:rsid w:val="00327339"/>
    <w:rsid w:val="00330F98"/>
    <w:rsid w:val="00347985"/>
    <w:rsid w:val="003B4781"/>
    <w:rsid w:val="003B6D62"/>
    <w:rsid w:val="003D33E6"/>
    <w:rsid w:val="00430ABC"/>
    <w:rsid w:val="004624A3"/>
    <w:rsid w:val="004B63C3"/>
    <w:rsid w:val="004C0916"/>
    <w:rsid w:val="0054764B"/>
    <w:rsid w:val="005576AA"/>
    <w:rsid w:val="00562833"/>
    <w:rsid w:val="005C4DD2"/>
    <w:rsid w:val="00674D38"/>
    <w:rsid w:val="0067556D"/>
    <w:rsid w:val="007A472B"/>
    <w:rsid w:val="007E4103"/>
    <w:rsid w:val="007F16C0"/>
    <w:rsid w:val="00873FD0"/>
    <w:rsid w:val="00946B25"/>
    <w:rsid w:val="009F1BF0"/>
    <w:rsid w:val="00A113F8"/>
    <w:rsid w:val="00A16C01"/>
    <w:rsid w:val="00A71D1F"/>
    <w:rsid w:val="00B21968"/>
    <w:rsid w:val="00B73923"/>
    <w:rsid w:val="00B82925"/>
    <w:rsid w:val="00C115AF"/>
    <w:rsid w:val="00CB006D"/>
    <w:rsid w:val="00CE1148"/>
    <w:rsid w:val="00CF1B67"/>
    <w:rsid w:val="00DA3EC0"/>
    <w:rsid w:val="00F84254"/>
    <w:rsid w:val="00F9082A"/>
    <w:rsid w:val="00FC6AC9"/>
    <w:rsid w:val="00FD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BDA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54"/>
    <w:pPr>
      <w:spacing w:after="200" w:line="276" w:lineRule="auto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eccin">
    <w:name w:val="Sección"/>
    <w:basedOn w:val="Normal"/>
    <w:next w:val="Numeral"/>
    <w:link w:val="SeccinCar"/>
    <w:qFormat/>
    <w:rsid w:val="00F84254"/>
    <w:pPr>
      <w:keepNext/>
      <w:tabs>
        <w:tab w:val="left" w:pos="851"/>
      </w:tabs>
      <w:spacing w:before="300" w:after="180" w:line="240" w:lineRule="auto"/>
    </w:pPr>
    <w:rPr>
      <w:rFonts w:ascii="Arial" w:eastAsiaTheme="minorEastAsia" w:hAnsi="Arial" w:cs="Arial"/>
      <w:b/>
      <w:sz w:val="24"/>
      <w:szCs w:val="28"/>
      <w:lang w:bidi="en-US"/>
    </w:rPr>
  </w:style>
  <w:style w:type="paragraph" w:customStyle="1" w:styleId="Numeral">
    <w:name w:val="Numeral"/>
    <w:basedOn w:val="Normal"/>
    <w:link w:val="NumeralCar"/>
    <w:qFormat/>
    <w:rsid w:val="00F84254"/>
    <w:pPr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NumeralCar">
    <w:name w:val="Numeral Car"/>
    <w:basedOn w:val="Fuentedeprrafopredeter"/>
    <w:link w:val="Numeral"/>
    <w:rsid w:val="00F84254"/>
    <w:rPr>
      <w:rFonts w:ascii="Arial" w:eastAsiaTheme="minorEastAsia" w:hAnsi="Arial" w:cs="Arial"/>
      <w:sz w:val="20"/>
      <w:lang w:bidi="en-US"/>
    </w:rPr>
  </w:style>
  <w:style w:type="character" w:customStyle="1" w:styleId="SeccinCar">
    <w:name w:val="Sección Car"/>
    <w:basedOn w:val="Fuentedeprrafopredeter"/>
    <w:link w:val="Seccin"/>
    <w:rsid w:val="00F84254"/>
    <w:rPr>
      <w:rFonts w:ascii="Arial" w:eastAsiaTheme="minorEastAsia" w:hAnsi="Arial" w:cs="Arial"/>
      <w:b/>
      <w:sz w:val="24"/>
      <w:szCs w:val="28"/>
      <w:lang w:bidi="en-US"/>
    </w:rPr>
  </w:style>
  <w:style w:type="paragraph" w:customStyle="1" w:styleId="Inciso">
    <w:name w:val="Inciso"/>
    <w:basedOn w:val="Normal"/>
    <w:link w:val="IncisoCar"/>
    <w:qFormat/>
    <w:rsid w:val="00F84254"/>
    <w:pPr>
      <w:tabs>
        <w:tab w:val="left" w:pos="567"/>
      </w:tabs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IncisoCar">
    <w:name w:val="Inciso Car"/>
    <w:basedOn w:val="Fuentedeprrafopredeter"/>
    <w:link w:val="Inciso"/>
    <w:rsid w:val="00F84254"/>
    <w:rPr>
      <w:rFonts w:ascii="Arial" w:eastAsiaTheme="minorEastAsia" w:hAnsi="Arial" w:cs="Arial"/>
      <w:sz w:val="20"/>
      <w:lang w:bidi="en-US"/>
    </w:rPr>
  </w:style>
  <w:style w:type="paragraph" w:customStyle="1" w:styleId="Subinciso">
    <w:name w:val="Subinciso"/>
    <w:basedOn w:val="Normal"/>
    <w:link w:val="SubincisoCar"/>
    <w:qFormat/>
    <w:rsid w:val="00F84254"/>
    <w:pPr>
      <w:tabs>
        <w:tab w:val="left" w:pos="567"/>
      </w:tabs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paragraph" w:customStyle="1" w:styleId="Apartado">
    <w:name w:val="Apartado"/>
    <w:basedOn w:val="Normal"/>
    <w:qFormat/>
    <w:rsid w:val="00F84254"/>
    <w:pPr>
      <w:spacing w:before="12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paragraph" w:customStyle="1" w:styleId="SSInciso">
    <w:name w:val="SS Inciso"/>
    <w:basedOn w:val="Normal"/>
    <w:rsid w:val="00F84254"/>
    <w:pPr>
      <w:tabs>
        <w:tab w:val="left" w:pos="567"/>
      </w:tabs>
      <w:spacing w:before="180" w:after="120" w:line="240" w:lineRule="auto"/>
      <w:jc w:val="both"/>
    </w:pPr>
    <w:rPr>
      <w:rFonts w:ascii="Calibri" w:eastAsiaTheme="minorEastAsia" w:hAnsi="Calibri" w:cs="Arial"/>
      <w:sz w:val="24"/>
      <w:lang w:bidi="en-US"/>
    </w:rPr>
  </w:style>
  <w:style w:type="paragraph" w:customStyle="1" w:styleId="SSSubinciso">
    <w:name w:val="SS Subinciso"/>
    <w:basedOn w:val="Normal"/>
    <w:rsid w:val="00F84254"/>
    <w:pPr>
      <w:tabs>
        <w:tab w:val="left" w:pos="567"/>
      </w:tabs>
      <w:spacing w:before="180" w:after="120" w:line="240" w:lineRule="auto"/>
      <w:jc w:val="both"/>
    </w:pPr>
    <w:rPr>
      <w:rFonts w:ascii="Calibri" w:eastAsiaTheme="minorEastAsia" w:hAnsi="Calibri" w:cs="Arial"/>
      <w:sz w:val="24"/>
      <w:lang w:bidi="en-US"/>
    </w:rPr>
  </w:style>
  <w:style w:type="paragraph" w:customStyle="1" w:styleId="Subapartado">
    <w:name w:val="Subapartado"/>
    <w:basedOn w:val="Normal"/>
    <w:qFormat/>
    <w:rsid w:val="00F84254"/>
    <w:pPr>
      <w:tabs>
        <w:tab w:val="left" w:pos="567"/>
      </w:tabs>
      <w:spacing w:before="12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body0020text0020first0020indentchar">
    <w:name w:val="body_0020text_0020first_0020indent__char"/>
    <w:basedOn w:val="Fuentedeprrafopredeter"/>
    <w:rsid w:val="00F84254"/>
  </w:style>
  <w:style w:type="paragraph" w:styleId="Encabezado">
    <w:name w:val="header"/>
    <w:basedOn w:val="Normal"/>
    <w:link w:val="EncabezadoCar"/>
    <w:uiPriority w:val="99"/>
    <w:unhideWhenUsed/>
    <w:rsid w:val="00F84254"/>
    <w:pPr>
      <w:tabs>
        <w:tab w:val="left" w:pos="567"/>
        <w:tab w:val="center" w:pos="4320"/>
        <w:tab w:val="right" w:pos="8640"/>
      </w:tabs>
      <w:spacing w:after="0" w:line="240" w:lineRule="auto"/>
      <w:jc w:val="both"/>
    </w:pPr>
    <w:rPr>
      <w:rFonts w:ascii="Calibri" w:eastAsiaTheme="minorEastAsia" w:hAnsi="Calibri" w:cs="Arial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F84254"/>
    <w:rPr>
      <w:rFonts w:ascii="Calibri" w:eastAsiaTheme="minorEastAsia" w:hAnsi="Calibri" w:cs="Arial"/>
      <w:sz w:val="24"/>
      <w:szCs w:val="24"/>
    </w:rPr>
  </w:style>
  <w:style w:type="paragraph" w:customStyle="1" w:styleId="Heather">
    <w:name w:val="Heather"/>
    <w:basedOn w:val="Encabezado"/>
    <w:link w:val="HeatherCar"/>
    <w:rsid w:val="00F84254"/>
    <w:pPr>
      <w:jc w:val="right"/>
    </w:pPr>
    <w:rPr>
      <w:rFonts w:ascii="Verdana" w:hAnsi="Verdana"/>
      <w:b/>
      <w:i/>
      <w:color w:val="595959" w:themeColor="text1" w:themeTint="A6"/>
      <w:sz w:val="18"/>
      <w:szCs w:val="18"/>
    </w:rPr>
  </w:style>
  <w:style w:type="character" w:customStyle="1" w:styleId="HeatherCar">
    <w:name w:val="Heather Car"/>
    <w:basedOn w:val="EncabezadoCar"/>
    <w:link w:val="Heather"/>
    <w:rsid w:val="00F84254"/>
    <w:rPr>
      <w:rFonts w:ascii="Verdana" w:eastAsiaTheme="minorEastAsia" w:hAnsi="Verdana" w:cs="Arial"/>
      <w:b/>
      <w:i/>
      <w:color w:val="595959" w:themeColor="text1" w:themeTint="A6"/>
      <w:sz w:val="18"/>
      <w:szCs w:val="18"/>
    </w:rPr>
  </w:style>
  <w:style w:type="paragraph" w:customStyle="1" w:styleId="Portadaarriba">
    <w:name w:val="Portada arriba"/>
    <w:basedOn w:val="Normal"/>
    <w:link w:val="PortadaarribaCar"/>
    <w:qFormat/>
    <w:rsid w:val="00F84254"/>
    <w:pPr>
      <w:pBdr>
        <w:bottom w:val="single" w:sz="8" w:space="1" w:color="auto"/>
      </w:pBdr>
      <w:tabs>
        <w:tab w:val="left" w:pos="567"/>
      </w:tabs>
      <w:spacing w:before="480" w:after="120" w:line="240" w:lineRule="auto"/>
      <w:jc w:val="center"/>
    </w:pPr>
    <w:rPr>
      <w:rFonts w:ascii="Calibri" w:eastAsia="Calibri" w:hAnsi="Calibri" w:cs="Arial"/>
      <w:b/>
      <w:sz w:val="56"/>
      <w:szCs w:val="56"/>
      <w:lang w:bidi="en-US"/>
    </w:rPr>
  </w:style>
  <w:style w:type="paragraph" w:customStyle="1" w:styleId="Portadaabajo">
    <w:name w:val="Portada abajo"/>
    <w:basedOn w:val="Normal"/>
    <w:link w:val="PortadaabajoCar"/>
    <w:qFormat/>
    <w:rsid w:val="00F84254"/>
    <w:pPr>
      <w:tabs>
        <w:tab w:val="left" w:pos="567"/>
      </w:tabs>
      <w:spacing w:after="1200" w:line="240" w:lineRule="auto"/>
      <w:jc w:val="center"/>
    </w:pPr>
    <w:rPr>
      <w:rFonts w:ascii="Calibri" w:eastAsia="Calibri" w:hAnsi="Calibri" w:cs="Arial"/>
      <w:sz w:val="48"/>
      <w:szCs w:val="24"/>
      <w:lang w:bidi="en-US"/>
    </w:rPr>
  </w:style>
  <w:style w:type="character" w:customStyle="1" w:styleId="PortadaarribaCar">
    <w:name w:val="Portada arriba Car"/>
    <w:basedOn w:val="Fuentedeprrafopredeter"/>
    <w:link w:val="Portadaarriba"/>
    <w:rsid w:val="00F84254"/>
    <w:rPr>
      <w:rFonts w:ascii="Calibri" w:eastAsia="Calibri" w:hAnsi="Calibri" w:cs="Arial"/>
      <w:b/>
      <w:sz w:val="56"/>
      <w:szCs w:val="56"/>
      <w:lang w:bidi="en-US"/>
    </w:rPr>
  </w:style>
  <w:style w:type="character" w:customStyle="1" w:styleId="PortadaabajoCar">
    <w:name w:val="Portada abajo Car"/>
    <w:basedOn w:val="Fuentedeprrafopredeter"/>
    <w:link w:val="Portadaabajo"/>
    <w:rsid w:val="00F84254"/>
    <w:rPr>
      <w:rFonts w:ascii="Calibri" w:eastAsia="Calibri" w:hAnsi="Calibri" w:cs="Arial"/>
      <w:sz w:val="48"/>
      <w:szCs w:val="24"/>
      <w:lang w:bidi="en-US"/>
    </w:rPr>
  </w:style>
  <w:style w:type="paragraph" w:styleId="Piedepgina">
    <w:name w:val="footer"/>
    <w:basedOn w:val="Normal"/>
    <w:link w:val="PiedepginaCar"/>
    <w:uiPriority w:val="99"/>
    <w:unhideWhenUsed/>
    <w:rsid w:val="00F842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4254"/>
  </w:style>
  <w:style w:type="character" w:styleId="Hipervnculo">
    <w:name w:val="Hyperlink"/>
    <w:basedOn w:val="Fuentedeprrafopredeter"/>
    <w:uiPriority w:val="99"/>
    <w:unhideWhenUsed/>
    <w:rsid w:val="00F84254"/>
    <w:rPr>
      <w:color w:val="0563C1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F84254"/>
    <w:pPr>
      <w:tabs>
        <w:tab w:val="left" w:pos="567"/>
        <w:tab w:val="right" w:leader="dot" w:pos="10070"/>
      </w:tabs>
      <w:spacing w:after="100" w:line="240" w:lineRule="auto"/>
      <w:ind w:left="567" w:hanging="567"/>
    </w:pPr>
    <w:rPr>
      <w:rFonts w:ascii="Arial" w:eastAsiaTheme="minorEastAsia" w:hAnsi="Arial" w:cs="Arial"/>
      <w:noProof/>
      <w:snapToGrid w:val="0"/>
      <w:w w:val="0"/>
      <w:sz w:val="20"/>
      <w:szCs w:val="20"/>
      <w:lang w:eastAsia="es-MX" w:bidi="en-US"/>
    </w:rPr>
  </w:style>
  <w:style w:type="paragraph" w:customStyle="1" w:styleId="Contenido">
    <w:name w:val="Contenido"/>
    <w:basedOn w:val="Normal"/>
    <w:link w:val="ContenidoCar"/>
    <w:qFormat/>
    <w:rsid w:val="00F84254"/>
    <w:pPr>
      <w:tabs>
        <w:tab w:val="left" w:pos="567"/>
      </w:tabs>
      <w:spacing w:before="180" w:after="360" w:line="240" w:lineRule="auto"/>
      <w:jc w:val="center"/>
    </w:pPr>
    <w:rPr>
      <w:rFonts w:ascii="Calibri" w:eastAsiaTheme="minorEastAsia" w:hAnsi="Calibri" w:cs="Arial"/>
      <w:b/>
      <w:sz w:val="32"/>
      <w:lang w:bidi="en-US"/>
    </w:rPr>
  </w:style>
  <w:style w:type="character" w:customStyle="1" w:styleId="ContenidoCar">
    <w:name w:val="Contenido Car"/>
    <w:basedOn w:val="Fuentedeprrafopredeter"/>
    <w:link w:val="Contenido"/>
    <w:rsid w:val="00F84254"/>
    <w:rPr>
      <w:rFonts w:ascii="Calibri" w:eastAsiaTheme="minorEastAsia" w:hAnsi="Calibri" w:cs="Arial"/>
      <w:b/>
      <w:sz w:val="32"/>
      <w:lang w:bidi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6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6C01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34798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4798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4798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4798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47985"/>
    <w:rPr>
      <w:b/>
      <w:bCs/>
      <w:sz w:val="20"/>
      <w:szCs w:val="20"/>
    </w:rPr>
  </w:style>
  <w:style w:type="paragraph" w:customStyle="1" w:styleId="Captulo">
    <w:name w:val="Capítulo"/>
    <w:basedOn w:val="Normal"/>
    <w:link w:val="CaptuloCar"/>
    <w:autoRedefine/>
    <w:qFormat/>
    <w:rsid w:val="00327339"/>
    <w:pPr>
      <w:keepNext/>
      <w:pBdr>
        <w:bottom w:val="single" w:sz="12" w:space="1" w:color="auto"/>
      </w:pBdr>
      <w:spacing w:before="840" w:after="840" w:line="240" w:lineRule="auto"/>
      <w:jc w:val="center"/>
    </w:pPr>
    <w:rPr>
      <w:rFonts w:ascii="Arial" w:eastAsiaTheme="minorEastAsia" w:hAnsi="Arial" w:cs="Arial"/>
      <w:b/>
      <w:sz w:val="28"/>
      <w:szCs w:val="28"/>
      <w:lang w:val="es-ES" w:eastAsia="es-MX" w:bidi="en-US"/>
    </w:rPr>
  </w:style>
  <w:style w:type="character" w:customStyle="1" w:styleId="CaptuloCar">
    <w:name w:val="Capítulo Car"/>
    <w:basedOn w:val="Fuentedeprrafopredeter"/>
    <w:link w:val="Captulo"/>
    <w:rsid w:val="00327339"/>
    <w:rPr>
      <w:rFonts w:ascii="Arial" w:eastAsiaTheme="minorEastAsia" w:hAnsi="Arial" w:cs="Arial"/>
      <w:b/>
      <w:sz w:val="28"/>
      <w:szCs w:val="28"/>
      <w:lang w:val="es-ES" w:eastAsia="es-MX" w:bidi="en-US"/>
    </w:rPr>
  </w:style>
  <w:style w:type="character" w:customStyle="1" w:styleId="SubincisoCar">
    <w:name w:val="Subinciso Car"/>
    <w:basedOn w:val="Fuentedeprrafopredeter"/>
    <w:link w:val="Subinciso"/>
    <w:rsid w:val="00327339"/>
    <w:rPr>
      <w:rFonts w:ascii="Arial" w:eastAsiaTheme="minorEastAsia" w:hAnsi="Arial" w:cs="Arial"/>
      <w:sz w:val="20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254"/>
    <w:pPr>
      <w:spacing w:after="200" w:line="276" w:lineRule="auto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eccin">
    <w:name w:val="Sección"/>
    <w:basedOn w:val="Normal"/>
    <w:next w:val="Numeral"/>
    <w:link w:val="SeccinCar"/>
    <w:qFormat/>
    <w:rsid w:val="00F84254"/>
    <w:pPr>
      <w:keepNext/>
      <w:tabs>
        <w:tab w:val="left" w:pos="851"/>
      </w:tabs>
      <w:spacing w:before="300" w:after="180" w:line="240" w:lineRule="auto"/>
    </w:pPr>
    <w:rPr>
      <w:rFonts w:ascii="Arial" w:eastAsiaTheme="minorEastAsia" w:hAnsi="Arial" w:cs="Arial"/>
      <w:b/>
      <w:sz w:val="24"/>
      <w:szCs w:val="28"/>
      <w:lang w:bidi="en-US"/>
    </w:rPr>
  </w:style>
  <w:style w:type="paragraph" w:customStyle="1" w:styleId="Numeral">
    <w:name w:val="Numeral"/>
    <w:basedOn w:val="Normal"/>
    <w:link w:val="NumeralCar"/>
    <w:qFormat/>
    <w:rsid w:val="00F84254"/>
    <w:pPr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NumeralCar">
    <w:name w:val="Numeral Car"/>
    <w:basedOn w:val="Fuentedeprrafopredeter"/>
    <w:link w:val="Numeral"/>
    <w:rsid w:val="00F84254"/>
    <w:rPr>
      <w:rFonts w:ascii="Arial" w:eastAsiaTheme="minorEastAsia" w:hAnsi="Arial" w:cs="Arial"/>
      <w:sz w:val="20"/>
      <w:lang w:bidi="en-US"/>
    </w:rPr>
  </w:style>
  <w:style w:type="character" w:customStyle="1" w:styleId="SeccinCar">
    <w:name w:val="Sección Car"/>
    <w:basedOn w:val="Fuentedeprrafopredeter"/>
    <w:link w:val="Seccin"/>
    <w:rsid w:val="00F84254"/>
    <w:rPr>
      <w:rFonts w:ascii="Arial" w:eastAsiaTheme="minorEastAsia" w:hAnsi="Arial" w:cs="Arial"/>
      <w:b/>
      <w:sz w:val="24"/>
      <w:szCs w:val="28"/>
      <w:lang w:bidi="en-US"/>
    </w:rPr>
  </w:style>
  <w:style w:type="paragraph" w:customStyle="1" w:styleId="Inciso">
    <w:name w:val="Inciso"/>
    <w:basedOn w:val="Normal"/>
    <w:link w:val="IncisoCar"/>
    <w:qFormat/>
    <w:rsid w:val="00F84254"/>
    <w:pPr>
      <w:tabs>
        <w:tab w:val="left" w:pos="567"/>
      </w:tabs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IncisoCar">
    <w:name w:val="Inciso Car"/>
    <w:basedOn w:val="Fuentedeprrafopredeter"/>
    <w:link w:val="Inciso"/>
    <w:rsid w:val="00F84254"/>
    <w:rPr>
      <w:rFonts w:ascii="Arial" w:eastAsiaTheme="minorEastAsia" w:hAnsi="Arial" w:cs="Arial"/>
      <w:sz w:val="20"/>
      <w:lang w:bidi="en-US"/>
    </w:rPr>
  </w:style>
  <w:style w:type="paragraph" w:customStyle="1" w:styleId="Subinciso">
    <w:name w:val="Subinciso"/>
    <w:basedOn w:val="Normal"/>
    <w:link w:val="SubincisoCar"/>
    <w:qFormat/>
    <w:rsid w:val="00F84254"/>
    <w:pPr>
      <w:tabs>
        <w:tab w:val="left" w:pos="567"/>
      </w:tabs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paragraph" w:customStyle="1" w:styleId="Apartado">
    <w:name w:val="Apartado"/>
    <w:basedOn w:val="Normal"/>
    <w:qFormat/>
    <w:rsid w:val="00F84254"/>
    <w:pPr>
      <w:spacing w:before="12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paragraph" w:customStyle="1" w:styleId="SSInciso">
    <w:name w:val="SS Inciso"/>
    <w:basedOn w:val="Normal"/>
    <w:rsid w:val="00F84254"/>
    <w:pPr>
      <w:tabs>
        <w:tab w:val="left" w:pos="567"/>
      </w:tabs>
      <w:spacing w:before="180" w:after="120" w:line="240" w:lineRule="auto"/>
      <w:jc w:val="both"/>
    </w:pPr>
    <w:rPr>
      <w:rFonts w:ascii="Calibri" w:eastAsiaTheme="minorEastAsia" w:hAnsi="Calibri" w:cs="Arial"/>
      <w:sz w:val="24"/>
      <w:lang w:bidi="en-US"/>
    </w:rPr>
  </w:style>
  <w:style w:type="paragraph" w:customStyle="1" w:styleId="SSSubinciso">
    <w:name w:val="SS Subinciso"/>
    <w:basedOn w:val="Normal"/>
    <w:rsid w:val="00F84254"/>
    <w:pPr>
      <w:tabs>
        <w:tab w:val="left" w:pos="567"/>
      </w:tabs>
      <w:spacing w:before="180" w:after="120" w:line="240" w:lineRule="auto"/>
      <w:jc w:val="both"/>
    </w:pPr>
    <w:rPr>
      <w:rFonts w:ascii="Calibri" w:eastAsiaTheme="minorEastAsia" w:hAnsi="Calibri" w:cs="Arial"/>
      <w:sz w:val="24"/>
      <w:lang w:bidi="en-US"/>
    </w:rPr>
  </w:style>
  <w:style w:type="paragraph" w:customStyle="1" w:styleId="Subapartado">
    <w:name w:val="Subapartado"/>
    <w:basedOn w:val="Normal"/>
    <w:qFormat/>
    <w:rsid w:val="00F84254"/>
    <w:pPr>
      <w:tabs>
        <w:tab w:val="left" w:pos="567"/>
      </w:tabs>
      <w:spacing w:before="12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body0020text0020first0020indentchar">
    <w:name w:val="body_0020text_0020first_0020indent__char"/>
    <w:basedOn w:val="Fuentedeprrafopredeter"/>
    <w:rsid w:val="00F84254"/>
  </w:style>
  <w:style w:type="paragraph" w:styleId="Encabezado">
    <w:name w:val="header"/>
    <w:basedOn w:val="Normal"/>
    <w:link w:val="EncabezadoCar"/>
    <w:uiPriority w:val="99"/>
    <w:unhideWhenUsed/>
    <w:rsid w:val="00F84254"/>
    <w:pPr>
      <w:tabs>
        <w:tab w:val="left" w:pos="567"/>
        <w:tab w:val="center" w:pos="4320"/>
        <w:tab w:val="right" w:pos="8640"/>
      </w:tabs>
      <w:spacing w:after="0" w:line="240" w:lineRule="auto"/>
      <w:jc w:val="both"/>
    </w:pPr>
    <w:rPr>
      <w:rFonts w:ascii="Calibri" w:eastAsiaTheme="minorEastAsia" w:hAnsi="Calibri" w:cs="Arial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F84254"/>
    <w:rPr>
      <w:rFonts w:ascii="Calibri" w:eastAsiaTheme="minorEastAsia" w:hAnsi="Calibri" w:cs="Arial"/>
      <w:sz w:val="24"/>
      <w:szCs w:val="24"/>
    </w:rPr>
  </w:style>
  <w:style w:type="paragraph" w:customStyle="1" w:styleId="Heather">
    <w:name w:val="Heather"/>
    <w:basedOn w:val="Encabezado"/>
    <w:link w:val="HeatherCar"/>
    <w:rsid w:val="00F84254"/>
    <w:pPr>
      <w:jc w:val="right"/>
    </w:pPr>
    <w:rPr>
      <w:rFonts w:ascii="Verdana" w:hAnsi="Verdana"/>
      <w:b/>
      <w:i/>
      <w:color w:val="595959" w:themeColor="text1" w:themeTint="A6"/>
      <w:sz w:val="18"/>
      <w:szCs w:val="18"/>
    </w:rPr>
  </w:style>
  <w:style w:type="character" w:customStyle="1" w:styleId="HeatherCar">
    <w:name w:val="Heather Car"/>
    <w:basedOn w:val="EncabezadoCar"/>
    <w:link w:val="Heather"/>
    <w:rsid w:val="00F84254"/>
    <w:rPr>
      <w:rFonts w:ascii="Verdana" w:eastAsiaTheme="minorEastAsia" w:hAnsi="Verdana" w:cs="Arial"/>
      <w:b/>
      <w:i/>
      <w:color w:val="595959" w:themeColor="text1" w:themeTint="A6"/>
      <w:sz w:val="18"/>
      <w:szCs w:val="18"/>
    </w:rPr>
  </w:style>
  <w:style w:type="paragraph" w:customStyle="1" w:styleId="Portadaarriba">
    <w:name w:val="Portada arriba"/>
    <w:basedOn w:val="Normal"/>
    <w:link w:val="PortadaarribaCar"/>
    <w:qFormat/>
    <w:rsid w:val="00F84254"/>
    <w:pPr>
      <w:pBdr>
        <w:bottom w:val="single" w:sz="8" w:space="1" w:color="auto"/>
      </w:pBdr>
      <w:tabs>
        <w:tab w:val="left" w:pos="567"/>
      </w:tabs>
      <w:spacing w:before="480" w:after="120" w:line="240" w:lineRule="auto"/>
      <w:jc w:val="center"/>
    </w:pPr>
    <w:rPr>
      <w:rFonts w:ascii="Calibri" w:eastAsia="Calibri" w:hAnsi="Calibri" w:cs="Arial"/>
      <w:b/>
      <w:sz w:val="56"/>
      <w:szCs w:val="56"/>
      <w:lang w:bidi="en-US"/>
    </w:rPr>
  </w:style>
  <w:style w:type="paragraph" w:customStyle="1" w:styleId="Portadaabajo">
    <w:name w:val="Portada abajo"/>
    <w:basedOn w:val="Normal"/>
    <w:link w:val="PortadaabajoCar"/>
    <w:qFormat/>
    <w:rsid w:val="00F84254"/>
    <w:pPr>
      <w:tabs>
        <w:tab w:val="left" w:pos="567"/>
      </w:tabs>
      <w:spacing w:after="1200" w:line="240" w:lineRule="auto"/>
      <w:jc w:val="center"/>
    </w:pPr>
    <w:rPr>
      <w:rFonts w:ascii="Calibri" w:eastAsia="Calibri" w:hAnsi="Calibri" w:cs="Arial"/>
      <w:sz w:val="48"/>
      <w:szCs w:val="24"/>
      <w:lang w:bidi="en-US"/>
    </w:rPr>
  </w:style>
  <w:style w:type="character" w:customStyle="1" w:styleId="PortadaarribaCar">
    <w:name w:val="Portada arriba Car"/>
    <w:basedOn w:val="Fuentedeprrafopredeter"/>
    <w:link w:val="Portadaarriba"/>
    <w:rsid w:val="00F84254"/>
    <w:rPr>
      <w:rFonts w:ascii="Calibri" w:eastAsia="Calibri" w:hAnsi="Calibri" w:cs="Arial"/>
      <w:b/>
      <w:sz w:val="56"/>
      <w:szCs w:val="56"/>
      <w:lang w:bidi="en-US"/>
    </w:rPr>
  </w:style>
  <w:style w:type="character" w:customStyle="1" w:styleId="PortadaabajoCar">
    <w:name w:val="Portada abajo Car"/>
    <w:basedOn w:val="Fuentedeprrafopredeter"/>
    <w:link w:val="Portadaabajo"/>
    <w:rsid w:val="00F84254"/>
    <w:rPr>
      <w:rFonts w:ascii="Calibri" w:eastAsia="Calibri" w:hAnsi="Calibri" w:cs="Arial"/>
      <w:sz w:val="48"/>
      <w:szCs w:val="24"/>
      <w:lang w:bidi="en-US"/>
    </w:rPr>
  </w:style>
  <w:style w:type="paragraph" w:styleId="Piedepgina">
    <w:name w:val="footer"/>
    <w:basedOn w:val="Normal"/>
    <w:link w:val="PiedepginaCar"/>
    <w:uiPriority w:val="99"/>
    <w:unhideWhenUsed/>
    <w:rsid w:val="00F842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84254"/>
  </w:style>
  <w:style w:type="character" w:styleId="Hipervnculo">
    <w:name w:val="Hyperlink"/>
    <w:basedOn w:val="Fuentedeprrafopredeter"/>
    <w:uiPriority w:val="99"/>
    <w:unhideWhenUsed/>
    <w:rsid w:val="00F84254"/>
    <w:rPr>
      <w:color w:val="0563C1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F84254"/>
    <w:pPr>
      <w:tabs>
        <w:tab w:val="left" w:pos="567"/>
        <w:tab w:val="right" w:leader="dot" w:pos="10070"/>
      </w:tabs>
      <w:spacing w:after="100" w:line="240" w:lineRule="auto"/>
      <w:ind w:left="567" w:hanging="567"/>
    </w:pPr>
    <w:rPr>
      <w:rFonts w:ascii="Arial" w:eastAsiaTheme="minorEastAsia" w:hAnsi="Arial" w:cs="Arial"/>
      <w:noProof/>
      <w:snapToGrid w:val="0"/>
      <w:w w:val="0"/>
      <w:sz w:val="20"/>
      <w:szCs w:val="20"/>
      <w:lang w:eastAsia="es-MX" w:bidi="en-US"/>
    </w:rPr>
  </w:style>
  <w:style w:type="paragraph" w:customStyle="1" w:styleId="Contenido">
    <w:name w:val="Contenido"/>
    <w:basedOn w:val="Normal"/>
    <w:link w:val="ContenidoCar"/>
    <w:qFormat/>
    <w:rsid w:val="00F84254"/>
    <w:pPr>
      <w:tabs>
        <w:tab w:val="left" w:pos="567"/>
      </w:tabs>
      <w:spacing w:before="180" w:after="360" w:line="240" w:lineRule="auto"/>
      <w:jc w:val="center"/>
    </w:pPr>
    <w:rPr>
      <w:rFonts w:ascii="Calibri" w:eastAsiaTheme="minorEastAsia" w:hAnsi="Calibri" w:cs="Arial"/>
      <w:b/>
      <w:sz w:val="32"/>
      <w:lang w:bidi="en-US"/>
    </w:rPr>
  </w:style>
  <w:style w:type="character" w:customStyle="1" w:styleId="ContenidoCar">
    <w:name w:val="Contenido Car"/>
    <w:basedOn w:val="Fuentedeprrafopredeter"/>
    <w:link w:val="Contenido"/>
    <w:rsid w:val="00F84254"/>
    <w:rPr>
      <w:rFonts w:ascii="Calibri" w:eastAsiaTheme="minorEastAsia" w:hAnsi="Calibri" w:cs="Arial"/>
      <w:b/>
      <w:sz w:val="32"/>
      <w:lang w:bidi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16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6C01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34798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4798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4798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4798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47985"/>
    <w:rPr>
      <w:b/>
      <w:bCs/>
      <w:sz w:val="20"/>
      <w:szCs w:val="20"/>
    </w:rPr>
  </w:style>
  <w:style w:type="paragraph" w:customStyle="1" w:styleId="Captulo">
    <w:name w:val="Capítulo"/>
    <w:basedOn w:val="Normal"/>
    <w:link w:val="CaptuloCar"/>
    <w:autoRedefine/>
    <w:qFormat/>
    <w:rsid w:val="00327339"/>
    <w:pPr>
      <w:keepNext/>
      <w:pBdr>
        <w:bottom w:val="single" w:sz="12" w:space="1" w:color="auto"/>
      </w:pBdr>
      <w:spacing w:before="840" w:after="840" w:line="240" w:lineRule="auto"/>
      <w:jc w:val="center"/>
    </w:pPr>
    <w:rPr>
      <w:rFonts w:ascii="Arial" w:eastAsiaTheme="minorEastAsia" w:hAnsi="Arial" w:cs="Arial"/>
      <w:b/>
      <w:sz w:val="28"/>
      <w:szCs w:val="28"/>
      <w:lang w:val="es-ES" w:eastAsia="es-MX" w:bidi="en-US"/>
    </w:rPr>
  </w:style>
  <w:style w:type="character" w:customStyle="1" w:styleId="CaptuloCar">
    <w:name w:val="Capítulo Car"/>
    <w:basedOn w:val="Fuentedeprrafopredeter"/>
    <w:link w:val="Captulo"/>
    <w:rsid w:val="00327339"/>
    <w:rPr>
      <w:rFonts w:ascii="Arial" w:eastAsiaTheme="minorEastAsia" w:hAnsi="Arial" w:cs="Arial"/>
      <w:b/>
      <w:sz w:val="28"/>
      <w:szCs w:val="28"/>
      <w:lang w:val="es-ES" w:eastAsia="es-MX" w:bidi="en-US"/>
    </w:rPr>
  </w:style>
  <w:style w:type="character" w:customStyle="1" w:styleId="SubincisoCar">
    <w:name w:val="Subinciso Car"/>
    <w:basedOn w:val="Fuentedeprrafopredeter"/>
    <w:link w:val="Subinciso"/>
    <w:rsid w:val="00327339"/>
    <w:rPr>
      <w:rFonts w:ascii="Arial" w:eastAsiaTheme="minorEastAsia" w:hAnsi="Arial" w:cs="Arial"/>
      <w:sz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2209</Words>
  <Characters>12155</Characters>
  <Application>Microsoft Office Word</Application>
  <DocSecurity>0</DocSecurity>
  <Lines>101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Emmanuel Noriega Espinoza</dc:creator>
  <cp:lastModifiedBy>Beatriz Castrejon</cp:lastModifiedBy>
  <cp:revision>3</cp:revision>
  <dcterms:created xsi:type="dcterms:W3CDTF">2017-04-07T18:26:00Z</dcterms:created>
  <dcterms:modified xsi:type="dcterms:W3CDTF">2017-04-07T18:48:00Z</dcterms:modified>
</cp:coreProperties>
</file>